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7B" w:rsidRPr="008C3AC8" w:rsidRDefault="00146D89" w:rsidP="00146D89">
      <w:pPr>
        <w:spacing w:after="0" w:line="276" w:lineRule="auto"/>
        <w:outlineLvl w:val="1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 xml:space="preserve"> </w:t>
      </w:r>
      <w:r w:rsidR="002769BE" w:rsidRPr="008C3AC8">
        <w:rPr>
          <w:rFonts w:eastAsia="Times New Roman" w:cs="Arial"/>
          <w:b/>
          <w:bCs/>
          <w:lang w:eastAsia="hr-HR"/>
        </w:rPr>
        <w:t xml:space="preserve"> </w:t>
      </w:r>
    </w:p>
    <w:p w:rsidR="00F46752" w:rsidRPr="008C3AC8" w:rsidRDefault="00F46752" w:rsidP="00146D89">
      <w:pPr>
        <w:spacing w:after="0" w:line="276" w:lineRule="auto"/>
        <w:outlineLvl w:val="1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INSTITUT ZA POVIJEST UMJETNOSTI</w:t>
      </w:r>
    </w:p>
    <w:p w:rsidR="00146D89" w:rsidRPr="008C3AC8" w:rsidRDefault="00146D89" w:rsidP="00146D89">
      <w:pPr>
        <w:spacing w:after="0" w:line="276" w:lineRule="auto"/>
        <w:outlineLvl w:val="1"/>
        <w:rPr>
          <w:rFonts w:eastAsia="Times New Roman" w:cs="Arial"/>
          <w:b/>
          <w:bCs/>
          <w:lang w:eastAsia="hr-HR"/>
        </w:rPr>
      </w:pPr>
    </w:p>
    <w:p w:rsidR="002D0A47" w:rsidRPr="008C3AC8" w:rsidRDefault="002D0A47" w:rsidP="00146D89">
      <w:pPr>
        <w:spacing w:after="0" w:line="276" w:lineRule="auto"/>
        <w:outlineLvl w:val="1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Privitak 3. Obrazac obrazloženja Posebnog dijela financijskog plana za korisnike treće razine –</w:t>
      </w:r>
      <w:r w:rsidR="00A235C6" w:rsidRPr="008C3AC8">
        <w:rPr>
          <w:rFonts w:eastAsia="Times New Roman" w:cs="Arial"/>
          <w:b/>
          <w:bCs/>
          <w:lang w:eastAsia="hr-HR"/>
        </w:rPr>
        <w:t xml:space="preserve"> Institut</w:t>
      </w:r>
      <w:r w:rsidR="00366F6C" w:rsidRPr="008C3AC8">
        <w:rPr>
          <w:rFonts w:eastAsia="Times New Roman" w:cs="Arial"/>
          <w:b/>
          <w:bCs/>
          <w:lang w:eastAsia="hr-HR"/>
        </w:rPr>
        <w:t>a</w:t>
      </w:r>
      <w:r w:rsidR="00A235C6" w:rsidRPr="008C3AC8">
        <w:rPr>
          <w:rFonts w:eastAsia="Times New Roman" w:cs="Arial"/>
          <w:b/>
          <w:bCs/>
          <w:lang w:eastAsia="hr-HR"/>
        </w:rPr>
        <w:t xml:space="preserve"> za povijest umjetnosti</w:t>
      </w:r>
      <w:r w:rsidR="00146D89" w:rsidRPr="008C3AC8">
        <w:rPr>
          <w:rFonts w:eastAsia="Times New Roman" w:cs="Arial"/>
          <w:b/>
          <w:bCs/>
          <w:lang w:eastAsia="hr-HR"/>
        </w:rPr>
        <w:t xml:space="preserve"> </w:t>
      </w:r>
      <w:r w:rsidR="00366F6C" w:rsidRPr="008C3AC8">
        <w:rPr>
          <w:rFonts w:eastAsia="Times New Roman" w:cs="Arial"/>
          <w:b/>
          <w:bCs/>
          <w:lang w:eastAsia="hr-HR"/>
        </w:rPr>
        <w:t>(RKP 2942)</w:t>
      </w:r>
      <w:r w:rsidR="00BB5891" w:rsidRPr="008C3AC8">
        <w:rPr>
          <w:rFonts w:eastAsia="Times New Roman" w:cs="Arial"/>
          <w:b/>
          <w:bCs/>
          <w:lang w:eastAsia="hr-HR"/>
        </w:rPr>
        <w:t xml:space="preserve"> </w:t>
      </w:r>
    </w:p>
    <w:p w:rsidR="00A235C6" w:rsidRPr="008C3AC8" w:rsidRDefault="00A235C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2D0A47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Sažetak</w:t>
      </w:r>
      <w:r w:rsidR="00146D89" w:rsidRPr="008C3AC8">
        <w:rPr>
          <w:rFonts w:eastAsia="Times New Roman" w:cs="Arial"/>
          <w:b/>
          <w:bCs/>
          <w:lang w:eastAsia="hr-HR"/>
        </w:rPr>
        <w:t xml:space="preserve"> </w:t>
      </w:r>
      <w:r w:rsidR="00F46752" w:rsidRPr="008C3AC8">
        <w:rPr>
          <w:rFonts w:eastAsia="Times New Roman" w:cs="Arial"/>
          <w:b/>
          <w:bCs/>
          <w:lang w:eastAsia="hr-HR"/>
        </w:rPr>
        <w:t xml:space="preserve">djelatnosti </w:t>
      </w:r>
      <w:r w:rsidR="00A235C6" w:rsidRPr="008C3AC8">
        <w:rPr>
          <w:rFonts w:eastAsia="Times New Roman" w:cs="Arial"/>
          <w:b/>
          <w:bCs/>
          <w:lang w:eastAsia="hr-HR"/>
        </w:rPr>
        <w:t>Instituta za povijest umjetnosti</w:t>
      </w:r>
      <w:r w:rsidRPr="008C3AC8">
        <w:rPr>
          <w:rFonts w:eastAsia="Times New Roman" w:cs="Arial"/>
          <w:b/>
          <w:bCs/>
          <w:lang w:eastAsia="hr-HR"/>
        </w:rPr>
        <w:t>:</w:t>
      </w:r>
    </w:p>
    <w:p w:rsidR="00146D89" w:rsidRPr="008C3AC8" w:rsidRDefault="00146D89" w:rsidP="00146D89">
      <w:pPr>
        <w:spacing w:after="0" w:line="276" w:lineRule="auto"/>
        <w:jc w:val="both"/>
        <w:rPr>
          <w:rFonts w:eastAsia="Times New Roman" w:cs="Arial"/>
          <w:lang w:eastAsia="hr-HR"/>
        </w:rPr>
      </w:pPr>
    </w:p>
    <w:p w:rsidR="004558AC" w:rsidRPr="008C3AC8" w:rsidRDefault="002D0A47" w:rsidP="00146D89">
      <w:pPr>
        <w:spacing w:after="0" w:line="276" w:lineRule="auto"/>
        <w:jc w:val="both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Institut za povijest umjetnosti javni je znanstveni institut koji provodi znanstvena i primijenjena istraživanja u području povijesti umjetnosti i interdisciplinarno povezani</w:t>
      </w:r>
      <w:r w:rsidR="00366F6C" w:rsidRPr="008C3AC8">
        <w:rPr>
          <w:rFonts w:eastAsia="Times New Roman" w:cs="Arial"/>
          <w:lang w:eastAsia="hr-HR"/>
        </w:rPr>
        <w:t>m</w:t>
      </w:r>
      <w:r w:rsidRPr="008C3AC8">
        <w:rPr>
          <w:rFonts w:eastAsia="Times New Roman" w:cs="Arial"/>
          <w:lang w:eastAsia="hr-HR"/>
        </w:rPr>
        <w:t xml:space="preserve"> područj</w:t>
      </w:r>
      <w:r w:rsidR="00366F6C" w:rsidRPr="008C3AC8">
        <w:rPr>
          <w:rFonts w:eastAsia="Times New Roman" w:cs="Arial"/>
          <w:lang w:eastAsia="hr-HR"/>
        </w:rPr>
        <w:t>ima</w:t>
      </w:r>
      <w:r w:rsidRPr="008C3AC8">
        <w:rPr>
          <w:rFonts w:eastAsia="Times New Roman" w:cs="Arial"/>
          <w:lang w:eastAsia="hr-HR"/>
        </w:rPr>
        <w:t xml:space="preserve">. Djelatnost Instituta uključuje bibliotečno-dokumentacijsku i izdavačku djelatnost, sudjelovanje u visokom obrazovanju i obrazovanju odraslih te </w:t>
      </w:r>
      <w:r w:rsidR="00E03579" w:rsidRPr="008C3AC8">
        <w:rPr>
          <w:rFonts w:eastAsia="Times New Roman" w:cs="Arial"/>
          <w:lang w:eastAsia="hr-HR"/>
        </w:rPr>
        <w:t xml:space="preserve">popularizaciju znanosti i </w:t>
      </w:r>
      <w:r w:rsidRPr="008C3AC8">
        <w:rPr>
          <w:rFonts w:eastAsia="Times New Roman" w:cs="Arial"/>
          <w:lang w:eastAsia="hr-HR"/>
        </w:rPr>
        <w:t xml:space="preserve">povijesti umjetnosti. Institut je ustrojen </w:t>
      </w:r>
      <w:r w:rsidR="008C3AC8">
        <w:rPr>
          <w:rFonts w:eastAsia="Times New Roman" w:cs="Arial"/>
          <w:lang w:eastAsia="hr-HR"/>
        </w:rPr>
        <w:t xml:space="preserve">u tri odjela s odgovarajućim unutarnjim </w:t>
      </w:r>
      <w:r w:rsidRPr="008C3AC8">
        <w:rPr>
          <w:rFonts w:eastAsia="Times New Roman" w:cs="Arial"/>
          <w:lang w:eastAsia="hr-HR"/>
        </w:rPr>
        <w:t xml:space="preserve">jedinica: Znanstveno-istraživački odjel, Podružnica u Splitu (Centar </w:t>
      </w:r>
      <w:proofErr w:type="spellStart"/>
      <w:r w:rsidRPr="008C3AC8">
        <w:rPr>
          <w:rFonts w:eastAsia="Times New Roman" w:cs="Arial"/>
          <w:lang w:eastAsia="hr-HR"/>
        </w:rPr>
        <w:t>Cvito</w:t>
      </w:r>
      <w:proofErr w:type="spellEnd"/>
      <w:r w:rsidRPr="008C3AC8">
        <w:rPr>
          <w:rFonts w:eastAsia="Times New Roman" w:cs="Arial"/>
          <w:lang w:eastAsia="hr-HR"/>
        </w:rPr>
        <w:t xml:space="preserve"> Fisković), Stručno-tehnički odjel (arhitektonska, </w:t>
      </w:r>
      <w:proofErr w:type="spellStart"/>
      <w:r w:rsidRPr="008C3AC8">
        <w:rPr>
          <w:rFonts w:eastAsia="Times New Roman" w:cs="Arial"/>
          <w:lang w:eastAsia="hr-HR"/>
        </w:rPr>
        <w:t>fototečna</w:t>
      </w:r>
      <w:proofErr w:type="spellEnd"/>
      <w:r w:rsidRPr="008C3AC8">
        <w:rPr>
          <w:rFonts w:eastAsia="Times New Roman" w:cs="Arial"/>
          <w:lang w:eastAsia="hr-HR"/>
        </w:rPr>
        <w:t>,</w:t>
      </w:r>
      <w:r w:rsidR="00146D89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dokumentacijska</w:t>
      </w:r>
      <w:r w:rsidR="004558AC" w:rsidRPr="008C3AC8">
        <w:rPr>
          <w:rFonts w:eastAsia="Times New Roman" w:cs="Arial"/>
          <w:lang w:eastAsia="hr-HR"/>
        </w:rPr>
        <w:t xml:space="preserve">, bibliotečna i informatička </w:t>
      </w:r>
      <w:r w:rsidRPr="008C3AC8">
        <w:rPr>
          <w:rFonts w:eastAsia="Times New Roman" w:cs="Arial"/>
          <w:lang w:eastAsia="hr-HR"/>
        </w:rPr>
        <w:t xml:space="preserve">služba) i Upravno-računovodstveni odjel. </w:t>
      </w:r>
    </w:p>
    <w:p w:rsidR="00E03579" w:rsidRPr="008C3AC8" w:rsidRDefault="00E03579" w:rsidP="00146D89">
      <w:pPr>
        <w:spacing w:after="0" w:line="276" w:lineRule="auto"/>
        <w:jc w:val="both"/>
        <w:rPr>
          <w:rFonts w:cs="Arial"/>
        </w:rPr>
      </w:pPr>
    </w:p>
    <w:p w:rsidR="00F43A4B" w:rsidRPr="008C3AC8" w:rsidRDefault="008C3AC8" w:rsidP="00146D89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Na</w:t>
      </w:r>
      <w:r w:rsidR="00F43A4B" w:rsidRPr="008C3AC8">
        <w:rPr>
          <w:rFonts w:cs="Arial"/>
        </w:rPr>
        <w:t xml:space="preserve"> Institutu je zaposleno</w:t>
      </w:r>
      <w:r>
        <w:rPr>
          <w:rFonts w:cs="Arial"/>
        </w:rPr>
        <w:t xml:space="preserve"> </w:t>
      </w:r>
      <w:r w:rsidR="00F43A4B" w:rsidRPr="008C3AC8">
        <w:rPr>
          <w:rFonts w:cs="Arial"/>
        </w:rPr>
        <w:t>50 osoba</w:t>
      </w:r>
      <w:r>
        <w:rPr>
          <w:rFonts w:cs="Arial"/>
        </w:rPr>
        <w:t xml:space="preserve"> (2025. godina),</w:t>
      </w:r>
      <w:r w:rsidR="00F43A4B" w:rsidRPr="008C3AC8">
        <w:rPr>
          <w:rFonts w:cs="Arial"/>
        </w:rPr>
        <w:t xml:space="preserve"> </w:t>
      </w:r>
      <w:r>
        <w:rPr>
          <w:rFonts w:cs="Arial"/>
        </w:rPr>
        <w:t>o</w:t>
      </w:r>
      <w:r w:rsidR="00F43A4B" w:rsidRPr="008C3AC8">
        <w:rPr>
          <w:rFonts w:cs="Arial"/>
        </w:rPr>
        <w:t>d toga 34 osobe na teret državnog proračuna i 2 osobe na zamjeni (povećanje od 3 % u odnosu na 2024.), 1 osoba zaposlena je na teret Hrvatske zaklade za znanost (</w:t>
      </w:r>
      <w:proofErr w:type="spellStart"/>
      <w:r w:rsidR="00F43A4B" w:rsidRPr="008C3AC8">
        <w:rPr>
          <w:rFonts w:cs="Arial"/>
        </w:rPr>
        <w:t>HrZZ</w:t>
      </w:r>
      <w:proofErr w:type="spellEnd"/>
      <w:r w:rsidR="00F43A4B" w:rsidRPr="008C3AC8">
        <w:rPr>
          <w:rFonts w:cs="Arial"/>
        </w:rPr>
        <w:t>), 7 osoba na teret ERC projekta, te 6 osoba na teret vlastitih prihoda.</w:t>
      </w:r>
    </w:p>
    <w:p w:rsidR="00F43A4B" w:rsidRPr="008C3AC8" w:rsidRDefault="00F43A4B" w:rsidP="00146D89">
      <w:pPr>
        <w:spacing w:after="0" w:line="276" w:lineRule="auto"/>
        <w:jc w:val="both"/>
        <w:rPr>
          <w:rFonts w:eastAsia="Times New Roman" w:cs="Arial"/>
          <w:lang w:eastAsia="hr-HR"/>
        </w:rPr>
      </w:pPr>
    </w:p>
    <w:p w:rsidR="00F46752" w:rsidRPr="008C3AC8" w:rsidRDefault="002D0A47" w:rsidP="00146D89">
      <w:pPr>
        <w:spacing w:after="0" w:line="276" w:lineRule="auto"/>
        <w:jc w:val="both"/>
        <w:rPr>
          <w:rFonts w:cs="Arial"/>
        </w:rPr>
      </w:pPr>
      <w:r w:rsidRPr="008C3AC8">
        <w:rPr>
          <w:rFonts w:eastAsia="Times New Roman" w:cs="Arial"/>
          <w:lang w:eastAsia="hr-HR"/>
        </w:rPr>
        <w:t xml:space="preserve">Financijska sredstva osiguravaju se </w:t>
      </w:r>
      <w:r w:rsidR="00366F6C" w:rsidRPr="008C3AC8">
        <w:rPr>
          <w:rFonts w:eastAsia="Times New Roman" w:cs="Arial"/>
          <w:lang w:eastAsia="hr-HR"/>
        </w:rPr>
        <w:t>iz</w:t>
      </w:r>
      <w:r w:rsidRPr="008C3AC8">
        <w:rPr>
          <w:rFonts w:eastAsia="Times New Roman" w:cs="Arial"/>
          <w:lang w:eastAsia="hr-HR"/>
        </w:rPr>
        <w:t xml:space="preserve"> </w:t>
      </w:r>
      <w:r w:rsidR="00F46752" w:rsidRPr="008C3AC8">
        <w:rPr>
          <w:rFonts w:eastAsia="Times New Roman" w:cs="Arial"/>
          <w:lang w:eastAsia="hr-HR"/>
        </w:rPr>
        <w:t xml:space="preserve">sljedećih izvora: 11 </w:t>
      </w:r>
      <w:r w:rsidR="00F46752" w:rsidRPr="008C3AC8">
        <w:rPr>
          <w:rFonts w:cs="Arial"/>
        </w:rPr>
        <w:t>Opći prihodi i primici, 581 Mehanizam za oporavak i otpornost, 51000 Programi Unije – raspoloživ predujam, 533 Ostale darovnice, 5011 Pomoći iz državnog proračuna kroz opće prihode i primitke, 52 Ostale pomoći, 31 Vlastiti prihodi.</w:t>
      </w:r>
    </w:p>
    <w:p w:rsidR="00F43A4B" w:rsidRPr="008C3AC8" w:rsidRDefault="00F43A4B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:rsidR="00F43A4B" w:rsidRPr="008C3AC8" w:rsidRDefault="00F46752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Fonts w:asciiTheme="minorHAnsi" w:hAnsiTheme="minorHAnsi" w:cs="Arial"/>
          <w:sz w:val="22"/>
          <w:szCs w:val="22"/>
        </w:rPr>
        <w:t>U predloženom financijskom plan</w:t>
      </w:r>
      <w:r w:rsidR="00F43A4B" w:rsidRPr="008C3AC8">
        <w:rPr>
          <w:rFonts w:asciiTheme="minorHAnsi" w:hAnsiTheme="minorHAnsi" w:cs="Arial"/>
          <w:sz w:val="22"/>
          <w:szCs w:val="22"/>
        </w:rPr>
        <w:t xml:space="preserve">u </w:t>
      </w:r>
      <w:r w:rsidRPr="008C3AC8">
        <w:rPr>
          <w:rFonts w:asciiTheme="minorHAnsi" w:hAnsiTheme="minorHAnsi" w:cs="Arial"/>
          <w:sz w:val="22"/>
          <w:szCs w:val="22"/>
        </w:rPr>
        <w:t>2026.-2028.</w:t>
      </w:r>
      <w:r w:rsidR="00146D89" w:rsidRPr="008C3AC8">
        <w:rPr>
          <w:rFonts w:asciiTheme="minorHAnsi" w:hAnsiTheme="minorHAnsi" w:cs="Arial"/>
          <w:sz w:val="22"/>
          <w:szCs w:val="22"/>
        </w:rPr>
        <w:t xml:space="preserve"> </w:t>
      </w:r>
      <w:r w:rsidR="004D3CE9" w:rsidRPr="008C3AC8">
        <w:rPr>
          <w:rFonts w:asciiTheme="minorHAnsi" w:hAnsiTheme="minorHAnsi" w:cs="Arial"/>
          <w:sz w:val="22"/>
          <w:szCs w:val="22"/>
        </w:rPr>
        <w:t>novi je izvor</w:t>
      </w:r>
      <w:r w:rsidR="00146D89" w:rsidRPr="008C3AC8">
        <w:rPr>
          <w:rFonts w:asciiTheme="minorHAnsi" w:hAnsiTheme="minorHAnsi" w:cs="Arial"/>
          <w:sz w:val="22"/>
          <w:szCs w:val="22"/>
        </w:rPr>
        <w:t xml:space="preserve"> </w:t>
      </w:r>
      <w:r w:rsidR="004D3CE9"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51000 – Programi Unije (raspoloživ predujam)</w:t>
      </w:r>
      <w:r w:rsidR="004D3CE9" w:rsidRPr="008C3AC8">
        <w:rPr>
          <w:rFonts w:asciiTheme="minorHAnsi" w:hAnsiTheme="minorHAnsi" w:cs="Arial"/>
          <w:sz w:val="22"/>
          <w:szCs w:val="22"/>
        </w:rPr>
        <w:t>,</w:t>
      </w:r>
      <w:r w:rsidR="004D3CE9" w:rsidRPr="008C3AC8">
        <w:rPr>
          <w:rFonts w:asciiTheme="minorHAnsi" w:hAnsiTheme="minorHAnsi" w:cs="Arial"/>
          <w:b/>
          <w:sz w:val="22"/>
          <w:szCs w:val="22"/>
        </w:rPr>
        <w:t xml:space="preserve"> </w:t>
      </w:r>
      <w:r w:rsidR="004D3CE9" w:rsidRPr="008C3AC8">
        <w:rPr>
          <w:rFonts w:asciiTheme="minorHAnsi" w:hAnsiTheme="minorHAnsi" w:cs="Arial"/>
          <w:sz w:val="22"/>
          <w:szCs w:val="22"/>
        </w:rPr>
        <w:t>za istraživački</w:t>
      </w:r>
      <w:r w:rsidR="00146D89" w:rsidRPr="008C3AC8">
        <w:rPr>
          <w:rFonts w:asciiTheme="minorHAnsi" w:hAnsiTheme="minorHAnsi" w:cs="Arial"/>
          <w:sz w:val="22"/>
          <w:szCs w:val="22"/>
        </w:rPr>
        <w:t xml:space="preserve"> </w:t>
      </w:r>
      <w:r w:rsidR="004D3CE9" w:rsidRPr="008C3AC8">
        <w:rPr>
          <w:rFonts w:asciiTheme="minorHAnsi" w:hAnsiTheme="minorHAnsi" w:cs="Arial"/>
          <w:sz w:val="22"/>
          <w:szCs w:val="22"/>
        </w:rPr>
        <w:t xml:space="preserve">projekt </w:t>
      </w:r>
      <w:r w:rsidR="004D3CE9" w:rsidRPr="008C3AC8">
        <w:rPr>
          <w:rFonts w:asciiTheme="minorHAnsi" w:hAnsiTheme="minorHAnsi" w:cs="Arial"/>
          <w:i/>
          <w:iCs/>
          <w:sz w:val="22"/>
          <w:szCs w:val="22"/>
        </w:rPr>
        <w:t>Pravo na stan</w:t>
      </w:r>
      <w:r w:rsidR="004D3CE9" w:rsidRPr="008C3AC8">
        <w:rPr>
          <w:rFonts w:asciiTheme="minorHAnsi" w:hAnsiTheme="minorHAnsi" w:cs="Arial"/>
          <w:sz w:val="22"/>
          <w:szCs w:val="22"/>
        </w:rPr>
        <w:t xml:space="preserve">, koji se provodi u okviru programa </w:t>
      </w:r>
      <w:proofErr w:type="spellStart"/>
      <w:r w:rsidR="004D3CE9" w:rsidRPr="008C3AC8">
        <w:rPr>
          <w:rFonts w:asciiTheme="minorHAnsi" w:hAnsiTheme="minorHAnsi" w:cs="Arial"/>
          <w:i/>
          <w:iCs/>
          <w:sz w:val="22"/>
          <w:szCs w:val="22"/>
        </w:rPr>
        <w:t>Horizon</w:t>
      </w:r>
      <w:proofErr w:type="spellEnd"/>
      <w:r w:rsidR="004D3CE9" w:rsidRPr="008C3AC8">
        <w:rPr>
          <w:rFonts w:asciiTheme="minorHAnsi" w:hAnsiTheme="minorHAnsi" w:cs="Arial"/>
          <w:i/>
          <w:iCs/>
          <w:sz w:val="22"/>
          <w:szCs w:val="22"/>
        </w:rPr>
        <w:t xml:space="preserve"> Europe</w:t>
      </w:r>
      <w:r w:rsidR="004D3CE9" w:rsidRPr="008C3AC8">
        <w:rPr>
          <w:rFonts w:asciiTheme="minorHAnsi" w:hAnsiTheme="minorHAnsi" w:cs="Arial"/>
          <w:sz w:val="22"/>
          <w:szCs w:val="22"/>
        </w:rPr>
        <w:t xml:space="preserve">, uz potporu </w:t>
      </w:r>
      <w:proofErr w:type="spellStart"/>
      <w:r w:rsidR="004D3CE9" w:rsidRPr="008C3AC8">
        <w:rPr>
          <w:rFonts w:asciiTheme="minorHAnsi" w:hAnsiTheme="minorHAnsi" w:cs="Arial"/>
          <w:iCs/>
          <w:sz w:val="22"/>
          <w:szCs w:val="22"/>
        </w:rPr>
        <w:t>Consolidator</w:t>
      </w:r>
      <w:proofErr w:type="spellEnd"/>
      <w:r w:rsidR="004D3CE9" w:rsidRPr="008C3AC8">
        <w:rPr>
          <w:rFonts w:asciiTheme="minorHAnsi" w:hAnsiTheme="minorHAnsi" w:cs="Arial"/>
          <w:iCs/>
          <w:sz w:val="22"/>
          <w:szCs w:val="22"/>
        </w:rPr>
        <w:t xml:space="preserve"> Grant</w:t>
      </w:r>
      <w:r w:rsidR="004D3CE9" w:rsidRPr="008C3AC8">
        <w:rPr>
          <w:rFonts w:asciiTheme="minorHAnsi" w:hAnsiTheme="minorHAnsi" w:cs="Arial"/>
          <w:sz w:val="22"/>
          <w:szCs w:val="22"/>
        </w:rPr>
        <w:t xml:space="preserve"> Europskoga istraživačkog vijeća (ERC). Projekt traje od 2025. do 2030. godine. </w:t>
      </w:r>
    </w:p>
    <w:p w:rsidR="00F46752" w:rsidRPr="008C3AC8" w:rsidRDefault="004D3CE9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Fonts w:asciiTheme="minorHAnsi" w:hAnsiTheme="minorHAnsi" w:cs="Arial"/>
          <w:sz w:val="22"/>
          <w:szCs w:val="22"/>
        </w:rPr>
        <w:t>Također</w:t>
      </w:r>
      <w:r w:rsidR="008C3AC8">
        <w:rPr>
          <w:rFonts w:asciiTheme="minorHAnsi" w:hAnsiTheme="minorHAnsi" w:cs="Arial"/>
          <w:sz w:val="22"/>
          <w:szCs w:val="22"/>
        </w:rPr>
        <w:t xml:space="preserve">, u </w:t>
      </w:r>
      <w:r w:rsidR="008C3AC8" w:rsidRPr="008C3AC8">
        <w:rPr>
          <w:rFonts w:asciiTheme="minorHAnsi" w:hAnsiTheme="minorHAnsi" w:cs="Arial"/>
          <w:sz w:val="22"/>
          <w:szCs w:val="22"/>
        </w:rPr>
        <w:t>financijskom planu 2026.-2028.</w:t>
      </w:r>
      <w:r w:rsidR="008C3AC8">
        <w:rPr>
          <w:rFonts w:asciiTheme="minorHAnsi" w:hAnsiTheme="minorHAnsi" w:cs="Arial"/>
          <w:sz w:val="22"/>
          <w:szCs w:val="22"/>
        </w:rPr>
        <w:t xml:space="preserve"> </w:t>
      </w:r>
      <w:r w:rsidRPr="008C3AC8">
        <w:rPr>
          <w:rFonts w:asciiTheme="minorHAnsi" w:hAnsiTheme="minorHAnsi" w:cs="Arial"/>
          <w:sz w:val="22"/>
          <w:szCs w:val="22"/>
        </w:rPr>
        <w:t>značajni su prihodi na izvoru 31 Vlastiti prihodi od projekata ugovorenih u tržišnim uvjetima za izradu digitalnih i javno dostupnih konzervatorskih podloga za kulturno-povijesne cjeline u Republici Hrvatskoj (EKP), koje je Institut ugovorio putem javne nabave s Ministarstvom kulture i medija. Projekt traje 2024.–2026.</w:t>
      </w:r>
    </w:p>
    <w:p w:rsidR="004558AC" w:rsidRPr="008C3AC8" w:rsidRDefault="004558AC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2D0A47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Obrazloženja po aktivnostima: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A811EC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 xml:space="preserve">1. </w:t>
      </w:r>
      <w:r w:rsidR="005F1A8E" w:rsidRPr="008C3AC8">
        <w:rPr>
          <w:rFonts w:eastAsia="Times New Roman" w:cs="Arial"/>
          <w:b/>
          <w:bCs/>
          <w:lang w:eastAsia="hr-HR"/>
        </w:rPr>
        <w:tab/>
      </w:r>
      <w:r w:rsidRPr="008C3AC8">
        <w:rPr>
          <w:rFonts w:eastAsia="Times New Roman" w:cs="Arial"/>
          <w:b/>
          <w:bCs/>
          <w:lang w:eastAsia="hr-HR"/>
        </w:rPr>
        <w:t>A622150 - PROGRAMSKO FINANCIRANJE JAVNIH INSTITUTA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2D0A47" w:rsidP="00146D89">
      <w:pPr>
        <w:spacing w:after="0" w:line="276" w:lineRule="auto"/>
        <w:rPr>
          <w:rFonts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Zakonske i druge pravne osnove:</w:t>
      </w:r>
      <w:r w:rsidRPr="008C3AC8">
        <w:rPr>
          <w:rFonts w:eastAsia="Times New Roman" w:cs="Arial"/>
          <w:lang w:eastAsia="hr-HR"/>
        </w:rPr>
        <w:t xml:space="preserve"> Zakon o</w:t>
      </w:r>
      <w:r w:rsidR="00B33A8A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visokom obrazovanju</w:t>
      </w:r>
      <w:r w:rsidR="00B33A8A" w:rsidRPr="008C3AC8">
        <w:rPr>
          <w:rFonts w:eastAsia="Times New Roman" w:cs="Arial"/>
          <w:lang w:eastAsia="hr-HR"/>
        </w:rPr>
        <w:t xml:space="preserve"> i znanstvenoj djelatnosti (NN 119/22)</w:t>
      </w:r>
      <w:r w:rsidRPr="008C3AC8">
        <w:rPr>
          <w:rFonts w:eastAsia="Times New Roman" w:cs="Arial"/>
          <w:lang w:eastAsia="hr-HR"/>
        </w:rPr>
        <w:t xml:space="preserve">, Uredba o nazivima radnih mjesta i koeficijentima složenosti poslova u javnim službama, </w:t>
      </w:r>
      <w:r w:rsidR="00F46752" w:rsidRPr="008C3AC8">
        <w:rPr>
          <w:rFonts w:cs="Arial"/>
          <w:lang w:eastAsia="hr-HR"/>
        </w:rPr>
        <w:t xml:space="preserve">Programski ugovor (KLASA: 643-02/23-01/00016, URBROJ: 533-03-23-0019) kojim je utvrđeno višegodišnje financiranje osnovne, razvojne i izvedbene proračunske komponente Instituta. </w:t>
      </w:r>
    </w:p>
    <w:p w:rsidR="002D0A47" w:rsidRPr="008C3AC8" w:rsidRDefault="002D0A47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Opis aktivnosti:</w:t>
      </w:r>
      <w:r w:rsidR="00A811EC" w:rsidRPr="008C3AC8">
        <w:rPr>
          <w:rFonts w:eastAsia="Times New Roman" w:cs="Arial"/>
          <w:lang w:eastAsia="hr-HR"/>
        </w:rPr>
        <w:t xml:space="preserve"> R</w:t>
      </w:r>
      <w:r w:rsidRPr="008C3AC8">
        <w:rPr>
          <w:rFonts w:eastAsia="Times New Roman" w:cs="Arial"/>
          <w:lang w:eastAsia="hr-HR"/>
        </w:rPr>
        <w:t>edovn</w:t>
      </w:r>
      <w:r w:rsidR="00A811EC" w:rsidRPr="008C3AC8">
        <w:rPr>
          <w:rFonts w:eastAsia="Times New Roman" w:cs="Arial"/>
          <w:lang w:eastAsia="hr-HR"/>
        </w:rPr>
        <w:t>a</w:t>
      </w:r>
      <w:r w:rsidRPr="008C3AC8">
        <w:rPr>
          <w:rFonts w:eastAsia="Times New Roman" w:cs="Arial"/>
          <w:lang w:eastAsia="hr-HR"/>
        </w:rPr>
        <w:t xml:space="preserve"> znanstveno-istraživačku djelatnost Instituta, uključujući plaće i materijalna prava zaposlenih, materijalne rashode i financijske rashode.</w:t>
      </w:r>
      <w:r w:rsidR="00366F6C" w:rsidRPr="008C3AC8">
        <w:rPr>
          <w:rFonts w:eastAsia="Times New Roman" w:cs="Arial"/>
          <w:lang w:eastAsia="hr-HR"/>
        </w:rPr>
        <w:t xml:space="preserve"> U ovu aktivnost uključena je razvoj</w:t>
      </w:r>
      <w:r w:rsidR="00F46752" w:rsidRPr="008C3AC8">
        <w:rPr>
          <w:rFonts w:eastAsia="Times New Roman" w:cs="Arial"/>
          <w:lang w:eastAsia="hr-HR"/>
        </w:rPr>
        <w:t>n</w:t>
      </w:r>
      <w:r w:rsidR="00366F6C" w:rsidRPr="008C3AC8">
        <w:rPr>
          <w:rFonts w:eastAsia="Times New Roman" w:cs="Arial"/>
          <w:lang w:eastAsia="hr-HR"/>
        </w:rPr>
        <w:t>a komponenta programskog financiranja.</w:t>
      </w:r>
    </w:p>
    <w:p w:rsidR="00AA52FD" w:rsidRPr="008C3AC8" w:rsidRDefault="002D0A47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Provedba:</w:t>
      </w:r>
      <w:r w:rsidRPr="008C3AC8">
        <w:rPr>
          <w:rFonts w:eastAsia="Times New Roman" w:cs="Arial"/>
          <w:lang w:eastAsia="hr-HR"/>
        </w:rPr>
        <w:t xml:space="preserve"> Aktivnost se provodi svake godine.</w:t>
      </w:r>
    </w:p>
    <w:p w:rsidR="00AA52FD" w:rsidRPr="008C3AC8" w:rsidRDefault="00AA52FD" w:rsidP="00146D89">
      <w:pPr>
        <w:spacing w:after="0" w:line="276" w:lineRule="auto"/>
        <w:ind w:left="720"/>
        <w:rPr>
          <w:rFonts w:eastAsia="Times New Roman" w:cs="Arial"/>
          <w:lang w:eastAsia="hr-HR"/>
        </w:rPr>
      </w:pPr>
    </w:p>
    <w:p w:rsidR="00A235C6" w:rsidRPr="008C3AC8" w:rsidRDefault="002D0A47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Financijski plan</w:t>
      </w:r>
      <w:r w:rsidR="00B33A8A" w:rsidRPr="008C3AC8">
        <w:rPr>
          <w:rFonts w:eastAsia="Times New Roman" w:cs="Arial"/>
          <w:b/>
          <w:bCs/>
          <w:lang w:eastAsia="hr-HR"/>
        </w:rPr>
        <w:t>:</w:t>
      </w:r>
    </w:p>
    <w:p w:rsidR="000239E3" w:rsidRPr="008C3AC8" w:rsidRDefault="000239E3" w:rsidP="00146D89">
      <w:pPr>
        <w:spacing w:after="0" w:line="276" w:lineRule="auto"/>
        <w:ind w:left="720"/>
        <w:rPr>
          <w:rFonts w:eastAsia="Times New Roman" w:cs="Arial"/>
          <w:lang w:eastAsia="hr-H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60"/>
        <w:gridCol w:w="1660"/>
      </w:tblGrid>
      <w:tr w:rsidR="002423E4" w:rsidRPr="008C3AC8" w:rsidTr="00146D89">
        <w:trPr>
          <w:trHeight w:val="416"/>
        </w:trPr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Izvršenje 2024.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2025.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2026.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2027.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2028.</w:t>
            </w:r>
          </w:p>
        </w:tc>
      </w:tr>
      <w:tr w:rsidR="002423E4" w:rsidRPr="008C3AC8" w:rsidTr="00F43A4B">
        <w:trPr>
          <w:trHeight w:val="461"/>
        </w:trPr>
        <w:tc>
          <w:tcPr>
            <w:tcW w:w="1659" w:type="dxa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1.570.301</w:t>
            </w:r>
          </w:p>
        </w:tc>
        <w:tc>
          <w:tcPr>
            <w:tcW w:w="1659" w:type="dxa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2.147.731</w:t>
            </w:r>
          </w:p>
        </w:tc>
        <w:tc>
          <w:tcPr>
            <w:tcW w:w="1659" w:type="dxa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2.095.925</w:t>
            </w:r>
          </w:p>
        </w:tc>
        <w:tc>
          <w:tcPr>
            <w:tcW w:w="1660" w:type="dxa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2.089.480</w:t>
            </w:r>
          </w:p>
        </w:tc>
        <w:tc>
          <w:tcPr>
            <w:tcW w:w="1660" w:type="dxa"/>
            <w:vAlign w:val="center"/>
          </w:tcPr>
          <w:p w:rsidR="00B33A8A" w:rsidRPr="008C3AC8" w:rsidRDefault="00B33A8A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2.181.545</w:t>
            </w:r>
          </w:p>
        </w:tc>
      </w:tr>
    </w:tbl>
    <w:p w:rsidR="00A811EC" w:rsidRPr="008C3AC8" w:rsidRDefault="00A811EC" w:rsidP="00146D89">
      <w:pPr>
        <w:spacing w:after="0" w:line="276" w:lineRule="auto"/>
        <w:rPr>
          <w:rFonts w:cs="Arial"/>
        </w:rPr>
      </w:pPr>
    </w:p>
    <w:p w:rsidR="00A811EC" w:rsidRPr="008C3AC8" w:rsidRDefault="00A811EC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Izvor financiranja 11, opći prihodi i primici</w:t>
      </w:r>
      <w:r w:rsidR="00146D89" w:rsidRPr="008C3AC8">
        <w:rPr>
          <w:rFonts w:cs="Arial"/>
        </w:rPr>
        <w:t xml:space="preserve"> </w:t>
      </w:r>
      <w:r w:rsidRPr="008C3AC8">
        <w:rPr>
          <w:rFonts w:cs="Arial"/>
        </w:rPr>
        <w:t>– prihodi iz nadležnog proračuna.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4D3CE9" w:rsidRPr="008C3AC8" w:rsidRDefault="002D0A47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Aktivnost se sastoji od sljedećih elemenata/</w:t>
      </w:r>
      <w:proofErr w:type="spellStart"/>
      <w:r w:rsidRPr="008C3AC8">
        <w:rPr>
          <w:rFonts w:eastAsia="Times New Roman" w:cs="Arial"/>
          <w:b/>
          <w:bCs/>
          <w:lang w:eastAsia="hr-HR"/>
        </w:rPr>
        <w:t>podaktivnosti</w:t>
      </w:r>
      <w:proofErr w:type="spellEnd"/>
      <w:r w:rsidRPr="008C3AC8">
        <w:rPr>
          <w:rFonts w:eastAsia="Times New Roman" w:cs="Arial"/>
          <w:b/>
          <w:bCs/>
          <w:lang w:eastAsia="hr-HR"/>
        </w:rPr>
        <w:t>:</w:t>
      </w:r>
    </w:p>
    <w:p w:rsidR="004D3CE9" w:rsidRPr="008C3AC8" w:rsidRDefault="004D3CE9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 xml:space="preserve">Plaće i materijalna prava zaposlenih </w:t>
      </w:r>
    </w:p>
    <w:p w:rsidR="00E93785" w:rsidRPr="008C3AC8" w:rsidRDefault="001232DB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Materijalni rashodi i režije (hladni pogon) Instituta</w:t>
      </w:r>
    </w:p>
    <w:p w:rsidR="00E93785" w:rsidRPr="008C3AC8" w:rsidRDefault="002D0A47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Objavljivanje znanstvenih radova, autorskih i uredničkih knjiga</w:t>
      </w:r>
    </w:p>
    <w:p w:rsidR="00E93785" w:rsidRPr="008C3AC8" w:rsidRDefault="002D0A47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Organizacija znanstvenih skupova, konferencija, simpozij</w:t>
      </w:r>
      <w:r w:rsidR="00F367A5" w:rsidRPr="008C3AC8">
        <w:rPr>
          <w:rFonts w:eastAsia="Times New Roman" w:cs="Arial"/>
          <w:bCs/>
          <w:lang w:eastAsia="hr-HR"/>
        </w:rPr>
        <w:t>a</w:t>
      </w:r>
    </w:p>
    <w:p w:rsidR="00E93785" w:rsidRPr="008C3AC8" w:rsidRDefault="002D0A47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Autorska suradnja na izložbenim projektima</w:t>
      </w:r>
    </w:p>
    <w:p w:rsidR="00E93785" w:rsidRPr="008C3AC8" w:rsidRDefault="002D0A47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Baze podataka i informacijski sustavi</w:t>
      </w:r>
      <w:r w:rsidR="00586348" w:rsidRPr="008C3AC8">
        <w:rPr>
          <w:rFonts w:eastAsia="Times New Roman" w:cs="Arial"/>
          <w:bCs/>
          <w:lang w:eastAsia="hr-HR"/>
        </w:rPr>
        <w:t>, m</w:t>
      </w:r>
      <w:r w:rsidRPr="008C3AC8">
        <w:rPr>
          <w:rFonts w:eastAsia="Times New Roman" w:cs="Arial"/>
          <w:bCs/>
          <w:lang w:eastAsia="hr-HR"/>
        </w:rPr>
        <w:t>jere</w:t>
      </w:r>
      <w:r w:rsidR="00586348" w:rsidRPr="008C3AC8">
        <w:rPr>
          <w:rFonts w:eastAsia="Times New Roman" w:cs="Arial"/>
          <w:bCs/>
          <w:lang w:eastAsia="hr-HR"/>
        </w:rPr>
        <w:t xml:space="preserve"> </w:t>
      </w:r>
      <w:r w:rsidRPr="008C3AC8">
        <w:rPr>
          <w:rFonts w:eastAsia="Times New Roman" w:cs="Arial"/>
          <w:bCs/>
          <w:lang w:eastAsia="hr-HR"/>
        </w:rPr>
        <w:t>za poticanje politike otvorene znanosti</w:t>
      </w:r>
    </w:p>
    <w:p w:rsidR="00E93785" w:rsidRPr="008C3AC8" w:rsidRDefault="00274AF1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E</w:t>
      </w:r>
      <w:r w:rsidR="002D0A47" w:rsidRPr="008C3AC8">
        <w:rPr>
          <w:rFonts w:eastAsia="Times New Roman" w:cs="Arial"/>
          <w:bCs/>
          <w:lang w:eastAsia="hr-HR"/>
        </w:rPr>
        <w:t>dukacije</w:t>
      </w:r>
      <w:r w:rsidR="003D000C" w:rsidRPr="008C3AC8">
        <w:rPr>
          <w:rFonts w:eastAsia="Times New Roman" w:cs="Arial"/>
          <w:bCs/>
          <w:lang w:eastAsia="hr-HR"/>
        </w:rPr>
        <w:t xml:space="preserve"> </w:t>
      </w:r>
      <w:r w:rsidRPr="008C3AC8">
        <w:rPr>
          <w:rFonts w:eastAsia="Times New Roman" w:cs="Arial"/>
          <w:bCs/>
          <w:lang w:eastAsia="hr-HR"/>
        </w:rPr>
        <w:t>i seminari</w:t>
      </w:r>
      <w:r w:rsidRPr="008C3AC8">
        <w:rPr>
          <w:rStyle w:val="Strong"/>
          <w:rFonts w:cs="Arial"/>
        </w:rPr>
        <w:t xml:space="preserve"> </w:t>
      </w:r>
      <w:r w:rsidRPr="008C3AC8">
        <w:rPr>
          <w:rStyle w:val="Strong"/>
          <w:rFonts w:cs="Arial"/>
          <w:b w:val="0"/>
        </w:rPr>
        <w:t>za jačanje kompetencija stručnih službi</w:t>
      </w:r>
    </w:p>
    <w:p w:rsidR="00737B2F" w:rsidRPr="008C3AC8" w:rsidRDefault="002D0A47" w:rsidP="00146D89">
      <w:pPr>
        <w:numPr>
          <w:ilvl w:val="1"/>
          <w:numId w:val="2"/>
        </w:numPr>
        <w:tabs>
          <w:tab w:val="clear" w:pos="1440"/>
          <w:tab w:val="num" w:pos="1056"/>
        </w:tabs>
        <w:spacing w:after="0" w:line="276" w:lineRule="auto"/>
        <w:ind w:left="1056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Cs/>
          <w:lang w:eastAsia="hr-HR"/>
        </w:rPr>
        <w:t>Znanstvena mobilnost</w:t>
      </w:r>
    </w:p>
    <w:p w:rsidR="00146D89" w:rsidRPr="008C3AC8" w:rsidRDefault="00146D89" w:rsidP="00146D89">
      <w:pPr>
        <w:spacing w:after="0" w:line="276" w:lineRule="auto"/>
        <w:rPr>
          <w:rFonts w:cs="Arial"/>
        </w:rPr>
      </w:pPr>
    </w:p>
    <w:p w:rsidR="00A811EC" w:rsidRPr="008C3AC8" w:rsidRDefault="00A811EC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Obrazloženje i ciljevi aktivnosti:</w:t>
      </w:r>
    </w:p>
    <w:p w:rsidR="00A811EC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- Z</w:t>
      </w:r>
      <w:r w:rsidR="00A811EC" w:rsidRPr="008C3AC8">
        <w:rPr>
          <w:rFonts w:cs="Arial"/>
        </w:rPr>
        <w:t>nanstven</w:t>
      </w:r>
      <w:r w:rsidRPr="008C3AC8">
        <w:rPr>
          <w:rFonts w:cs="Arial"/>
        </w:rPr>
        <w:t>a</w:t>
      </w:r>
      <w:r w:rsidR="00A811EC" w:rsidRPr="008C3AC8">
        <w:rPr>
          <w:rFonts w:cs="Arial"/>
        </w:rPr>
        <w:t xml:space="preserve"> izvrsnost</w:t>
      </w:r>
      <w:r w:rsidRPr="008C3AC8">
        <w:rPr>
          <w:rFonts w:cs="Arial"/>
        </w:rPr>
        <w:t xml:space="preserve"> </w:t>
      </w:r>
      <w:r w:rsidR="00A811EC" w:rsidRPr="008C3AC8">
        <w:rPr>
          <w:rFonts w:cs="Arial"/>
        </w:rPr>
        <w:t xml:space="preserve">u području povijesti umjetnosti </w:t>
      </w:r>
    </w:p>
    <w:p w:rsidR="00A811EC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 xml:space="preserve">- </w:t>
      </w:r>
      <w:r w:rsidR="00A811EC" w:rsidRPr="008C3AC8">
        <w:rPr>
          <w:rFonts w:cs="Arial"/>
        </w:rPr>
        <w:t xml:space="preserve">Jačanje istraživačkih i stručnih kapaciteta kroz stručno usavršavanje </w:t>
      </w:r>
    </w:p>
    <w:p w:rsidR="00A811EC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 xml:space="preserve">- </w:t>
      </w:r>
      <w:r w:rsidR="00A811EC" w:rsidRPr="008C3AC8">
        <w:rPr>
          <w:rFonts w:cs="Arial"/>
        </w:rPr>
        <w:t>Povećanje međunarodne vidljivosti i suradnje kroz znanstvenu mobilnost i organizaciju skupov</w:t>
      </w:r>
      <w:r w:rsidRPr="008C3AC8">
        <w:rPr>
          <w:rFonts w:cs="Arial"/>
        </w:rPr>
        <w:t>a</w:t>
      </w:r>
    </w:p>
    <w:p w:rsidR="00A811EC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- O</w:t>
      </w:r>
      <w:r w:rsidR="00A811EC" w:rsidRPr="008C3AC8">
        <w:rPr>
          <w:rFonts w:cs="Arial"/>
        </w:rPr>
        <w:t>tvorenost</w:t>
      </w:r>
      <w:r w:rsidRPr="008C3AC8">
        <w:rPr>
          <w:rFonts w:cs="Arial"/>
        </w:rPr>
        <w:t xml:space="preserve"> </w:t>
      </w:r>
      <w:r w:rsidR="00A811EC" w:rsidRPr="008C3AC8">
        <w:rPr>
          <w:rFonts w:cs="Arial"/>
        </w:rPr>
        <w:t>znanstvenih podataka te razvoj informacijskih sustava i baza podataka</w:t>
      </w:r>
    </w:p>
    <w:p w:rsidR="00A811EC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- M</w:t>
      </w:r>
      <w:r w:rsidR="00A811EC" w:rsidRPr="008C3AC8">
        <w:rPr>
          <w:rFonts w:cs="Arial"/>
        </w:rPr>
        <w:t xml:space="preserve">entorstva </w:t>
      </w:r>
      <w:r w:rsidRPr="008C3AC8">
        <w:rPr>
          <w:rFonts w:cs="Arial"/>
        </w:rPr>
        <w:t>i jačanje</w:t>
      </w:r>
      <w:r w:rsidR="00A811EC" w:rsidRPr="008C3AC8">
        <w:rPr>
          <w:rFonts w:cs="Arial"/>
        </w:rPr>
        <w:t xml:space="preserve"> kompetencij</w:t>
      </w:r>
      <w:r w:rsidRPr="008C3AC8">
        <w:rPr>
          <w:rFonts w:cs="Arial"/>
        </w:rPr>
        <w:t>a</w:t>
      </w:r>
      <w:r w:rsidR="00A811EC" w:rsidRPr="008C3AC8">
        <w:rPr>
          <w:rFonts w:cs="Arial"/>
        </w:rPr>
        <w:t xml:space="preserve"> mladih istraživača.</w:t>
      </w:r>
    </w:p>
    <w:p w:rsidR="00737B2F" w:rsidRPr="008C3AC8" w:rsidRDefault="00595F8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- R</w:t>
      </w:r>
      <w:r w:rsidR="00A811EC" w:rsidRPr="008C3AC8">
        <w:rPr>
          <w:rFonts w:cs="Arial"/>
        </w:rPr>
        <w:t>azvoj izdavačke djelatnosti Instituta, uključujući znanstvene časopise i monografske publikacije.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2D0A47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Pokazatelji rezultata: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266"/>
        <w:gridCol w:w="903"/>
        <w:gridCol w:w="1046"/>
        <w:gridCol w:w="1196"/>
        <w:gridCol w:w="1032"/>
        <w:gridCol w:w="1032"/>
        <w:gridCol w:w="1032"/>
      </w:tblGrid>
      <w:tr w:rsidR="002423E4" w:rsidRPr="008C3AC8" w:rsidTr="00BC22C8">
        <w:tc>
          <w:tcPr>
            <w:tcW w:w="1696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Pokazatelj rezultata</w:t>
            </w:r>
          </w:p>
        </w:tc>
        <w:tc>
          <w:tcPr>
            <w:tcW w:w="883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Definicija</w:t>
            </w: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Jedinica</w:t>
            </w:r>
          </w:p>
        </w:tc>
        <w:tc>
          <w:tcPr>
            <w:tcW w:w="1075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Polazna vrijednost (2024.)</w:t>
            </w:r>
          </w:p>
        </w:tc>
        <w:tc>
          <w:tcPr>
            <w:tcW w:w="1196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Izvor podataka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2026.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2027.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2028.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znanstvenih radova objavljenih u recenziranim časopisima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proofErr w:type="spellStart"/>
            <w:r w:rsidRPr="008C3AC8">
              <w:rPr>
                <w:rFonts w:cs="Arial"/>
                <w:sz w:val="18"/>
              </w:rPr>
              <w:t>Wos</w:t>
            </w:r>
            <w:proofErr w:type="spellEnd"/>
            <w:r w:rsidRPr="008C3AC8">
              <w:rPr>
                <w:rFonts w:cs="Arial"/>
                <w:sz w:val="18"/>
              </w:rPr>
              <w:t xml:space="preserve"> i </w:t>
            </w:r>
            <w:proofErr w:type="spellStart"/>
            <w:r w:rsidRPr="008C3AC8">
              <w:rPr>
                <w:rFonts w:cs="Arial"/>
                <w:sz w:val="18"/>
              </w:rPr>
              <w:t>Scopus</w:t>
            </w:r>
            <w:proofErr w:type="spellEnd"/>
            <w:r w:rsidRPr="008C3AC8">
              <w:rPr>
                <w:rFonts w:cs="Arial"/>
                <w:sz w:val="18"/>
              </w:rPr>
              <w:t xml:space="preserve"> znanstveni radovi u međunarodno recenziranim zbornicima, a1 časopisi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radova</w:t>
            </w:r>
          </w:p>
        </w:tc>
        <w:tc>
          <w:tcPr>
            <w:tcW w:w="1075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45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47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50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50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 xml:space="preserve">Autorske i uredničke znanstvene knjige i monografije 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knjiga</w:t>
            </w:r>
            <w:r w:rsidR="00BC22C8" w:rsidRPr="008C3AC8">
              <w:rPr>
                <w:rFonts w:eastAsia="Times New Roman" w:cs="Arial"/>
                <w:sz w:val="18"/>
                <w:lang w:eastAsia="hr-HR"/>
              </w:rPr>
              <w:t xml:space="preserve"> (a3)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knjiga</w:t>
            </w:r>
          </w:p>
        </w:tc>
        <w:tc>
          <w:tcPr>
            <w:tcW w:w="1075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</w:t>
            </w:r>
            <w:r w:rsidR="002423E4" w:rsidRPr="008C3AC8">
              <w:rPr>
                <w:rFonts w:eastAsia="Times New Roman" w:cs="Arial"/>
                <w:sz w:val="18"/>
                <w:lang w:eastAsia="hr-HR"/>
              </w:rPr>
              <w:t>1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10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10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10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Objavljeni radovi u kategoriji a2 i stručni radovi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radova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radova</w:t>
            </w:r>
          </w:p>
        </w:tc>
        <w:tc>
          <w:tcPr>
            <w:tcW w:w="1075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58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63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65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65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Organizacija znanstvenih skupova, konferencija, simpozija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skupova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9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9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lastRenderedPageBreak/>
              <w:t>Autorska suradnja na izložbenim projektima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projekata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12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12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12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12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Baze podataka i informacijski sustavi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unaprijeđenih sustava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69" w:type="dxa"/>
            <w:vAlign w:val="center"/>
          </w:tcPr>
          <w:p w:rsidR="005D76F0" w:rsidRPr="008C3AC8" w:rsidRDefault="0067398D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Edukacije i seminari</w:t>
            </w:r>
            <w:r w:rsidRPr="008C3AC8">
              <w:rPr>
                <w:rStyle w:val="Strong"/>
                <w:rFonts w:cs="Arial"/>
                <w:b w:val="0"/>
                <w:sz w:val="18"/>
              </w:rPr>
              <w:t xml:space="preserve"> za jačanje kompetencija stručnih službi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polaznika koji je završio edukaciju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13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15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15</w:t>
            </w:r>
          </w:p>
        </w:tc>
        <w:tc>
          <w:tcPr>
            <w:tcW w:w="1069" w:type="dxa"/>
            <w:vAlign w:val="center"/>
          </w:tcPr>
          <w:p w:rsidR="005D76F0" w:rsidRPr="008C3AC8" w:rsidRDefault="002423E4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15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Mjere i uvedeni alati za poticanje politike otvorene znanosti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mjera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</w:tr>
      <w:tr w:rsidR="002423E4" w:rsidRPr="008C3AC8" w:rsidTr="00BC22C8">
        <w:tc>
          <w:tcPr>
            <w:tcW w:w="1696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Znanstvena mobilnost</w:t>
            </w:r>
          </w:p>
        </w:tc>
        <w:tc>
          <w:tcPr>
            <w:tcW w:w="883" w:type="dxa"/>
            <w:vAlign w:val="center"/>
          </w:tcPr>
          <w:p w:rsidR="005D76F0" w:rsidRPr="008C3AC8" w:rsidRDefault="005D76F0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znanstvenika</w:t>
            </w:r>
          </w:p>
        </w:tc>
        <w:tc>
          <w:tcPr>
            <w:tcW w:w="960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5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</w:t>
            </w:r>
          </w:p>
        </w:tc>
        <w:tc>
          <w:tcPr>
            <w:tcW w:w="1196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8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8</w:t>
            </w:r>
          </w:p>
        </w:tc>
        <w:tc>
          <w:tcPr>
            <w:tcW w:w="1069" w:type="dxa"/>
            <w:vAlign w:val="center"/>
          </w:tcPr>
          <w:p w:rsidR="005D76F0" w:rsidRPr="008C3AC8" w:rsidRDefault="005D76F0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8</w:t>
            </w:r>
          </w:p>
        </w:tc>
      </w:tr>
      <w:tr w:rsidR="00146D89" w:rsidRPr="008C3AC8" w:rsidTr="00BC22C8">
        <w:tc>
          <w:tcPr>
            <w:tcW w:w="1696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Pokazatelj rezultata</w:t>
            </w:r>
          </w:p>
        </w:tc>
        <w:tc>
          <w:tcPr>
            <w:tcW w:w="883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Definicija</w:t>
            </w: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Jedinica</w:t>
            </w:r>
          </w:p>
        </w:tc>
        <w:tc>
          <w:tcPr>
            <w:tcW w:w="1075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Polazna vrijednost na dan 30.9.2025.</w:t>
            </w:r>
          </w:p>
        </w:tc>
        <w:tc>
          <w:tcPr>
            <w:tcW w:w="1196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Izvor podataka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2026.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2027.</w:t>
            </w:r>
          </w:p>
        </w:tc>
        <w:tc>
          <w:tcPr>
            <w:tcW w:w="1069" w:type="dxa"/>
            <w:shd w:val="clear" w:color="auto" w:fill="D0CECE" w:themeFill="background2" w:themeFillShade="E6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2028.</w:t>
            </w:r>
          </w:p>
        </w:tc>
      </w:tr>
      <w:tr w:rsidR="00146D89" w:rsidRPr="008C3AC8" w:rsidTr="00BC22C8">
        <w:tc>
          <w:tcPr>
            <w:tcW w:w="1696" w:type="dxa"/>
            <w:vAlign w:val="center"/>
          </w:tcPr>
          <w:p w:rsidR="00146D89" w:rsidRPr="008C3AC8" w:rsidRDefault="00146D89" w:rsidP="00146D89">
            <w:pPr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Zaposleni FTE (puno radno vrijeme)</w:t>
            </w:r>
          </w:p>
        </w:tc>
        <w:tc>
          <w:tcPr>
            <w:tcW w:w="883" w:type="dxa"/>
            <w:vAlign w:val="center"/>
          </w:tcPr>
          <w:p w:rsidR="00146D89" w:rsidRPr="008C3AC8" w:rsidRDefault="00146D89" w:rsidP="00146D89">
            <w:pPr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zaposlenika na teret proračuna</w:t>
            </w:r>
          </w:p>
        </w:tc>
        <w:tc>
          <w:tcPr>
            <w:tcW w:w="960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Osoba</w:t>
            </w:r>
          </w:p>
        </w:tc>
        <w:tc>
          <w:tcPr>
            <w:tcW w:w="1075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34</w:t>
            </w:r>
          </w:p>
        </w:tc>
        <w:tc>
          <w:tcPr>
            <w:tcW w:w="1196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COP i plan zapošljavanja 2023-2027.</w:t>
            </w:r>
          </w:p>
        </w:tc>
        <w:tc>
          <w:tcPr>
            <w:tcW w:w="1069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40</w:t>
            </w:r>
          </w:p>
        </w:tc>
        <w:tc>
          <w:tcPr>
            <w:tcW w:w="1069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45</w:t>
            </w:r>
          </w:p>
        </w:tc>
        <w:tc>
          <w:tcPr>
            <w:tcW w:w="1069" w:type="dxa"/>
            <w:vAlign w:val="center"/>
          </w:tcPr>
          <w:p w:rsidR="00146D89" w:rsidRPr="008C3AC8" w:rsidRDefault="00146D89" w:rsidP="00146D89">
            <w:pPr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45</w:t>
            </w:r>
          </w:p>
        </w:tc>
      </w:tr>
    </w:tbl>
    <w:p w:rsidR="005D76F0" w:rsidRPr="008C3AC8" w:rsidRDefault="005D76F0" w:rsidP="00146D89">
      <w:pPr>
        <w:spacing w:after="0" w:line="276" w:lineRule="auto"/>
        <w:rPr>
          <w:rFonts w:eastAsia="Times New Roman" w:cs="Arial"/>
          <w:sz w:val="18"/>
          <w:lang w:eastAsia="hr-HR"/>
        </w:rPr>
      </w:pPr>
    </w:p>
    <w:p w:rsidR="00146D89" w:rsidRPr="008C3AC8" w:rsidRDefault="00146D89" w:rsidP="00146D89">
      <w:pPr>
        <w:spacing w:after="0" w:line="276" w:lineRule="auto"/>
        <w:outlineLvl w:val="2"/>
        <w:rPr>
          <w:rFonts w:eastAsia="Times New Roman" w:cs="Arial"/>
          <w:b/>
          <w:bCs/>
          <w:lang w:eastAsia="hr-HR"/>
        </w:rPr>
      </w:pPr>
      <w:bookmarkStart w:id="0" w:name="_Hlk183120921"/>
    </w:p>
    <w:p w:rsidR="00146D89" w:rsidRPr="008C3AC8" w:rsidRDefault="00146D89" w:rsidP="00146D89">
      <w:pPr>
        <w:spacing w:after="0" w:line="276" w:lineRule="auto"/>
        <w:outlineLvl w:val="2"/>
        <w:rPr>
          <w:rFonts w:eastAsia="Times New Roman" w:cs="Arial"/>
          <w:b/>
          <w:bCs/>
          <w:lang w:eastAsia="hr-HR"/>
        </w:rPr>
      </w:pPr>
    </w:p>
    <w:p w:rsidR="00F844F1" w:rsidRPr="008C3AC8" w:rsidRDefault="00F844F1" w:rsidP="00146D89">
      <w:pPr>
        <w:spacing w:after="0" w:line="276" w:lineRule="auto"/>
        <w:outlineLvl w:val="2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 xml:space="preserve">2. </w:t>
      </w:r>
      <w:r w:rsidR="005F1A8E" w:rsidRPr="008C3AC8">
        <w:rPr>
          <w:rFonts w:eastAsia="Times New Roman" w:cs="Arial"/>
          <w:b/>
          <w:bCs/>
          <w:lang w:eastAsia="hr-HR"/>
        </w:rPr>
        <w:tab/>
      </w:r>
      <w:r w:rsidRPr="008C3AC8">
        <w:rPr>
          <w:rFonts w:eastAsia="Times New Roman" w:cs="Arial"/>
          <w:b/>
          <w:bCs/>
          <w:lang w:eastAsia="hr-HR"/>
        </w:rPr>
        <w:t>A622152 – PROGRAMSKO FINANCIRANJE JAVNIH INSTITUTA – IZ STRUKTURNIH I INVESTICIJSKIH FONDOVA EU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595F8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Zakonske i druge pravne osnove:</w:t>
      </w:r>
      <w:r w:rsidR="00595F86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Uredba o programskom financiranju javnih visokih učilišta i javnih znanstvenih instituta u Republici Hrvatskoj (NN 78/2023), Uvjeti internog natječaja za istraživačke projekte koje je utvrdilo Znanstveno vijeće Instituta 10.10.2023.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Opis aktivnosti:</w:t>
      </w:r>
      <w:r w:rsidR="00595F86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Aktivnost obuhvaća financiranje pet institucijskih projekata iz sredstava Nacionalnog plana oporavka i otpornosti 2021.–2026. (NPOO). Projekti se provode u okviru temeljnih znanstvenih istraživanja Instituta za povijest umjetnosti, u području humanističkih znanosti, polju povijesti umjetnosti.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Cilj:</w:t>
      </w:r>
      <w:r w:rsidR="00595F86" w:rsidRPr="008C3AC8">
        <w:rPr>
          <w:rFonts w:eastAsia="Times New Roman" w:cs="Arial"/>
          <w:b/>
          <w:bCs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Podizanje znanstvene izvrsnosti i doprinos razvoju znanstvenih</w:t>
      </w:r>
      <w:r w:rsidR="0067398D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kapaciteta Instituta za povijest umjetnosti.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Provedba:</w:t>
      </w:r>
      <w:r w:rsidR="00595F86" w:rsidRPr="008C3AC8">
        <w:rPr>
          <w:rFonts w:eastAsia="Times New Roman" w:cs="Arial"/>
          <w:lang w:eastAsia="hr-HR"/>
        </w:rPr>
        <w:t xml:space="preserve"> Provedbi institucijskih projekata je prethodio interni natječaj, evaluacija i odluke </w:t>
      </w:r>
      <w:r w:rsidRPr="008C3AC8">
        <w:rPr>
          <w:rFonts w:eastAsia="Times New Roman" w:cs="Arial"/>
          <w:lang w:eastAsia="hr-HR"/>
        </w:rPr>
        <w:t>o dodjeli projekata</w:t>
      </w:r>
      <w:r w:rsidR="00595F86" w:rsidRPr="008C3AC8">
        <w:rPr>
          <w:rFonts w:eastAsia="Times New Roman" w:cs="Arial"/>
          <w:lang w:eastAsia="hr-HR"/>
        </w:rPr>
        <w:t xml:space="preserve"> te U</w:t>
      </w:r>
      <w:r w:rsidRPr="008C3AC8">
        <w:rPr>
          <w:rFonts w:eastAsia="Times New Roman" w:cs="Arial"/>
          <w:lang w:eastAsia="hr-HR"/>
        </w:rPr>
        <w:t>govor</w:t>
      </w:r>
      <w:r w:rsidR="00595F86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o programskom financiranju.</w:t>
      </w:r>
      <w:r w:rsidR="00595F86" w:rsidRPr="008C3AC8">
        <w:rPr>
          <w:rFonts w:eastAsia="Times New Roman" w:cs="Arial"/>
          <w:lang w:eastAsia="hr-HR"/>
        </w:rPr>
        <w:t xml:space="preserve"> Institucijski projekti</w:t>
      </w:r>
      <w:r w:rsidRPr="008C3AC8">
        <w:rPr>
          <w:rFonts w:eastAsia="Times New Roman" w:cs="Arial"/>
          <w:lang w:eastAsia="hr-HR"/>
        </w:rPr>
        <w:t xml:space="preserve"> se provode na Institutu u trajanju četiri godine, od 1. siječnja 2024. do 31. prosinca 2027. godine. Izvještajna razdoblja su godišnja, s podnošenjem izvještaja u siječnju za prethodnu godinu.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Financijski plan:</w:t>
      </w:r>
    </w:p>
    <w:p w:rsidR="00530CC6" w:rsidRPr="008C3AC8" w:rsidRDefault="00530CC6" w:rsidP="00146D89">
      <w:pPr>
        <w:spacing w:after="0" w:line="276" w:lineRule="auto"/>
        <w:ind w:left="720"/>
        <w:rPr>
          <w:rFonts w:eastAsia="Times New Roman" w:cs="Arial"/>
          <w:lang w:eastAsia="hr-H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60"/>
        <w:gridCol w:w="1660"/>
      </w:tblGrid>
      <w:tr w:rsidR="002423E4" w:rsidRPr="008C3AC8" w:rsidTr="00146D89"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Izvršenje 2024.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2025.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2026.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2027.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2028.</w:t>
            </w:r>
          </w:p>
        </w:tc>
      </w:tr>
      <w:tr w:rsidR="002423E4" w:rsidRPr="008C3AC8" w:rsidTr="00193476">
        <w:trPr>
          <w:trHeight w:val="369"/>
        </w:trPr>
        <w:tc>
          <w:tcPr>
            <w:tcW w:w="1659" w:type="dxa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62.053</w:t>
            </w:r>
          </w:p>
        </w:tc>
        <w:tc>
          <w:tcPr>
            <w:tcW w:w="1659" w:type="dxa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97.455</w:t>
            </w:r>
          </w:p>
        </w:tc>
        <w:tc>
          <w:tcPr>
            <w:tcW w:w="1659" w:type="dxa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97.455</w:t>
            </w:r>
          </w:p>
        </w:tc>
        <w:tc>
          <w:tcPr>
            <w:tcW w:w="1660" w:type="dxa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92.065</w:t>
            </w:r>
          </w:p>
        </w:tc>
        <w:tc>
          <w:tcPr>
            <w:tcW w:w="1660" w:type="dxa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0</w:t>
            </w:r>
          </w:p>
        </w:tc>
      </w:tr>
    </w:tbl>
    <w:p w:rsidR="00530CC6" w:rsidRPr="008C3AC8" w:rsidRDefault="00530CC6" w:rsidP="00146D89">
      <w:pPr>
        <w:spacing w:after="0" w:line="276" w:lineRule="auto"/>
        <w:rPr>
          <w:rFonts w:cs="Arial"/>
        </w:rPr>
      </w:pPr>
    </w:p>
    <w:p w:rsidR="00530CC6" w:rsidRPr="008C3AC8" w:rsidRDefault="00530CC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lastRenderedPageBreak/>
        <w:t>Izvor financiranja 581, planirano u financijskom planu u okviru prihoda 671 – prihodi iz nadležnog proračuna.</w:t>
      </w:r>
    </w:p>
    <w:p w:rsidR="00530CC6" w:rsidRPr="008C3AC8" w:rsidRDefault="00530CC6" w:rsidP="00146D89">
      <w:pPr>
        <w:spacing w:after="0" w:line="276" w:lineRule="auto"/>
        <w:rPr>
          <w:rFonts w:cs="Arial"/>
        </w:rPr>
      </w:pP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Aktivnost se sastoji od sljedećih elemenata/</w:t>
      </w:r>
      <w:proofErr w:type="spellStart"/>
      <w:r w:rsidRPr="008C3AC8">
        <w:rPr>
          <w:rFonts w:eastAsia="Times New Roman" w:cs="Arial"/>
          <w:b/>
          <w:bCs/>
          <w:lang w:eastAsia="hr-HR"/>
        </w:rPr>
        <w:t>podaktivnosti</w:t>
      </w:r>
      <w:proofErr w:type="spellEnd"/>
      <w:r w:rsidRPr="008C3AC8">
        <w:rPr>
          <w:rFonts w:eastAsia="Times New Roman" w:cs="Arial"/>
          <w:b/>
          <w:bCs/>
          <w:lang w:eastAsia="hr-HR"/>
        </w:rPr>
        <w:t>: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Istraživački projekti, istraživački tereni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Aktivnosti usavršavanja i mobilnosti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Stručno usavršavanje i obrazovanje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Objava znanstvenog rada (</w:t>
      </w:r>
      <w:proofErr w:type="spellStart"/>
      <w:r w:rsidRPr="008C3AC8">
        <w:rPr>
          <w:rFonts w:eastAsia="Times New Roman" w:cs="Arial"/>
          <w:lang w:eastAsia="hr-HR"/>
        </w:rPr>
        <w:t>WoS</w:t>
      </w:r>
      <w:proofErr w:type="spellEnd"/>
      <w:r w:rsidRPr="008C3AC8">
        <w:rPr>
          <w:rFonts w:eastAsia="Times New Roman" w:cs="Arial"/>
          <w:lang w:eastAsia="hr-HR"/>
        </w:rPr>
        <w:t>, SCOPUS, a1); objava znanstvenog rada (a2, zbornik, knjiga)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Sudjelovanje na inozemnim i domaćim skupovima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Organizacija znanstvenih formata (skupovi, radionice</w:t>
      </w:r>
      <w:r w:rsidR="005F1A8E" w:rsidRPr="008C3AC8">
        <w:rPr>
          <w:rFonts w:eastAsia="Times New Roman" w:cs="Arial"/>
          <w:lang w:eastAsia="hr-HR"/>
        </w:rPr>
        <w:t xml:space="preserve"> </w:t>
      </w:r>
      <w:r w:rsidRPr="008C3AC8">
        <w:rPr>
          <w:rFonts w:eastAsia="Times New Roman" w:cs="Arial"/>
          <w:lang w:eastAsia="hr-HR"/>
        </w:rPr>
        <w:t>za studente i mlade stručnjake)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Organizacija formata za popularizaciju znanosti (Dani IPU, izložbe, predavanja, okrugli stolovi)</w:t>
      </w:r>
    </w:p>
    <w:p w:rsidR="00530CC6" w:rsidRPr="008C3AC8" w:rsidRDefault="00530CC6" w:rsidP="00146D89">
      <w:pPr>
        <w:numPr>
          <w:ilvl w:val="0"/>
          <w:numId w:val="2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Obrana disertacije</w:t>
      </w:r>
    </w:p>
    <w:p w:rsidR="00530CC6" w:rsidRPr="008C3AC8" w:rsidRDefault="00530CC6" w:rsidP="00146D89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Fonts w:asciiTheme="minorHAnsi" w:hAnsiTheme="minorHAnsi" w:cs="Arial"/>
          <w:sz w:val="22"/>
          <w:szCs w:val="22"/>
        </w:rPr>
        <w:t>Priprema i prijava kompetitivnih projekata</w:t>
      </w:r>
    </w:p>
    <w:p w:rsidR="00530CC6" w:rsidRPr="008C3AC8" w:rsidRDefault="00530CC6" w:rsidP="00146D89">
      <w:pPr>
        <w:spacing w:after="0" w:line="276" w:lineRule="auto"/>
        <w:rPr>
          <w:rFonts w:cs="Arial"/>
        </w:rPr>
      </w:pPr>
    </w:p>
    <w:p w:rsidR="00530CC6" w:rsidRPr="008C3AC8" w:rsidRDefault="00530CC6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>Obrazloženje i ciljevi aktivnosti: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- Jačanje znanstvene izvrsnosti i međunarodne vidljivosti Instituta kroz provedbu znanstvenih projekata i objavu rezultata u relevantnim publikacijama.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- Unaprjeđenje istraživačkih i razvojnih kapaciteta kroz mobilnost i stručno usavršavanje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- </w:t>
      </w:r>
      <w:r w:rsidR="0067398D">
        <w:rPr>
          <w:rFonts w:eastAsia="Times New Roman" w:cs="Arial"/>
          <w:lang w:eastAsia="hr-HR"/>
        </w:rPr>
        <w:t xml:space="preserve">Priprema i prijava </w:t>
      </w:r>
      <w:r w:rsidRPr="008C3AC8">
        <w:rPr>
          <w:rFonts w:eastAsia="Times New Roman" w:cs="Arial"/>
          <w:lang w:eastAsia="hr-HR"/>
        </w:rPr>
        <w:t>prijedloga</w:t>
      </w:r>
      <w:r w:rsidR="0067398D">
        <w:rPr>
          <w:rFonts w:eastAsia="Times New Roman" w:cs="Arial"/>
          <w:lang w:eastAsia="hr-HR"/>
        </w:rPr>
        <w:t xml:space="preserve"> kompetitivnih projekata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- Popularizacija znanstvenih rezultata kroz javne programe, predavanja i izložbe.</w:t>
      </w: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lang w:eastAsia="hr-HR"/>
        </w:rPr>
      </w:pP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530CC6" w:rsidRPr="008C3AC8" w:rsidRDefault="00530CC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Pokazatelji rezultata: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1536"/>
        <w:gridCol w:w="917"/>
        <w:gridCol w:w="1057"/>
        <w:gridCol w:w="1163"/>
        <w:gridCol w:w="1102"/>
        <w:gridCol w:w="1163"/>
        <w:gridCol w:w="1163"/>
        <w:gridCol w:w="1163"/>
      </w:tblGrid>
      <w:tr w:rsidR="002423E4" w:rsidRPr="008C3AC8" w:rsidTr="00BC22C8"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Pokazatelj rezultata</w:t>
            </w:r>
          </w:p>
        </w:tc>
        <w:tc>
          <w:tcPr>
            <w:tcW w:w="843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Definicija</w:t>
            </w:r>
          </w:p>
        </w:tc>
        <w:tc>
          <w:tcPr>
            <w:tcW w:w="1068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Jedinica</w:t>
            </w:r>
          </w:p>
        </w:tc>
        <w:tc>
          <w:tcPr>
            <w:tcW w:w="1172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Polazna vrijednost (2024.)</w:t>
            </w:r>
          </w:p>
        </w:tc>
        <w:tc>
          <w:tcPr>
            <w:tcW w:w="1110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Izvor podataka</w:t>
            </w:r>
          </w:p>
        </w:tc>
        <w:tc>
          <w:tcPr>
            <w:tcW w:w="1172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2026.</w:t>
            </w:r>
          </w:p>
        </w:tc>
        <w:tc>
          <w:tcPr>
            <w:tcW w:w="1172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2027.</w:t>
            </w:r>
          </w:p>
        </w:tc>
        <w:tc>
          <w:tcPr>
            <w:tcW w:w="1172" w:type="dxa"/>
            <w:shd w:val="clear" w:color="auto" w:fill="D0CECE" w:themeFill="background2" w:themeFillShade="E6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2028.</w:t>
            </w:r>
          </w:p>
        </w:tc>
      </w:tr>
      <w:tr w:rsidR="002423E4" w:rsidRPr="008C3AC8" w:rsidTr="00BC22C8">
        <w:tc>
          <w:tcPr>
            <w:tcW w:w="1555" w:type="dxa"/>
            <w:vAlign w:val="center"/>
          </w:tcPr>
          <w:p w:rsidR="00530CC6" w:rsidRPr="008C3AC8" w:rsidRDefault="00530CC6" w:rsidP="00146D89">
            <w:pPr>
              <w:spacing w:line="276" w:lineRule="auto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institucijskih projekata</w:t>
            </w:r>
          </w:p>
        </w:tc>
        <w:tc>
          <w:tcPr>
            <w:tcW w:w="843" w:type="dxa"/>
            <w:vAlign w:val="center"/>
          </w:tcPr>
          <w:p w:rsidR="00530CC6" w:rsidRPr="008C3AC8" w:rsidRDefault="00530CC6" w:rsidP="00146D89">
            <w:pPr>
              <w:spacing w:line="276" w:lineRule="auto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projekata</w:t>
            </w:r>
          </w:p>
        </w:tc>
        <w:tc>
          <w:tcPr>
            <w:tcW w:w="1068" w:type="dxa"/>
            <w:vAlign w:val="center"/>
          </w:tcPr>
          <w:p w:rsidR="00530CC6" w:rsidRPr="008C3AC8" w:rsidRDefault="00530CC6" w:rsidP="00146D89">
            <w:pPr>
              <w:spacing w:line="276" w:lineRule="auto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172" w:type="dxa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</w:t>
            </w:r>
          </w:p>
        </w:tc>
        <w:tc>
          <w:tcPr>
            <w:tcW w:w="1110" w:type="dxa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172" w:type="dxa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</w:t>
            </w:r>
          </w:p>
        </w:tc>
        <w:tc>
          <w:tcPr>
            <w:tcW w:w="1172" w:type="dxa"/>
            <w:vAlign w:val="center"/>
          </w:tcPr>
          <w:p w:rsidR="00530CC6" w:rsidRPr="008C3AC8" w:rsidRDefault="00530CC6" w:rsidP="00146D89">
            <w:pPr>
              <w:spacing w:line="276" w:lineRule="auto"/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</w:t>
            </w:r>
          </w:p>
        </w:tc>
        <w:tc>
          <w:tcPr>
            <w:tcW w:w="1172" w:type="dxa"/>
          </w:tcPr>
          <w:p w:rsidR="00530CC6" w:rsidRPr="008C3AC8" w:rsidRDefault="00530CC6" w:rsidP="00146D89">
            <w:pPr>
              <w:spacing w:line="276" w:lineRule="auto"/>
              <w:rPr>
                <w:rFonts w:eastAsia="Times New Roman" w:cs="Arial"/>
                <w:b/>
                <w:bCs/>
                <w:sz w:val="18"/>
                <w:lang w:eastAsia="hr-HR"/>
              </w:rPr>
            </w:pPr>
          </w:p>
        </w:tc>
      </w:tr>
      <w:bookmarkEnd w:id="0"/>
    </w:tbl>
    <w:p w:rsidR="00843FAB" w:rsidRPr="008C3AC8" w:rsidRDefault="00843FAB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D0A47" w:rsidRPr="008C3AC8" w:rsidRDefault="00595F86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 xml:space="preserve">3. </w:t>
      </w:r>
      <w:r w:rsidR="005F1A8E" w:rsidRPr="008C3AC8">
        <w:rPr>
          <w:rFonts w:eastAsia="Times New Roman" w:cs="Arial"/>
          <w:b/>
          <w:bCs/>
          <w:lang w:eastAsia="hr-HR"/>
        </w:rPr>
        <w:tab/>
      </w:r>
      <w:r w:rsidR="002D0A47" w:rsidRPr="008C3AC8">
        <w:rPr>
          <w:rFonts w:eastAsia="Times New Roman" w:cs="Arial"/>
          <w:b/>
          <w:bCs/>
          <w:lang w:eastAsia="hr-HR"/>
        </w:rPr>
        <w:t xml:space="preserve">A622151 </w:t>
      </w:r>
      <w:r w:rsidRPr="008C3AC8">
        <w:rPr>
          <w:rFonts w:eastAsia="Times New Roman" w:cs="Arial"/>
          <w:b/>
          <w:bCs/>
          <w:lang w:eastAsia="hr-HR"/>
        </w:rPr>
        <w:t>- PROGRAMSKO I OSTALO FINANCIRANJE JAVNIH INSTITUTA – IZ EVIDENCIJSKIH PRIHODA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601DC4" w:rsidRPr="008C3AC8" w:rsidRDefault="004558AC" w:rsidP="00146D89">
      <w:pPr>
        <w:spacing w:after="0" w:line="276" w:lineRule="auto"/>
        <w:rPr>
          <w:rFonts w:cs="Arial"/>
        </w:rPr>
      </w:pPr>
      <w:r w:rsidRPr="008C3AC8">
        <w:rPr>
          <w:rFonts w:eastAsia="Times New Roman" w:cs="Arial"/>
          <w:b/>
          <w:bCs/>
          <w:lang w:eastAsia="hr-HR"/>
        </w:rPr>
        <w:t>Zakonske i druge pravne osnove:</w:t>
      </w:r>
      <w:r w:rsidR="003D000C" w:rsidRPr="008C3AC8">
        <w:rPr>
          <w:rFonts w:eastAsia="Times New Roman" w:cs="Arial"/>
          <w:lang w:eastAsia="hr-HR"/>
        </w:rPr>
        <w:t xml:space="preserve"> </w:t>
      </w:r>
      <w:r w:rsidR="0021279A" w:rsidRPr="008C3AC8">
        <w:rPr>
          <w:rFonts w:cs="Arial"/>
          <w:lang w:eastAsia="hr-HR"/>
        </w:rPr>
        <w:t>Zakon o visokom obrazovanju i znanstvenoj djelatnosti</w:t>
      </w:r>
      <w:r w:rsidR="00601DC4" w:rsidRPr="008C3AC8">
        <w:rPr>
          <w:rFonts w:cs="Arial"/>
          <w:lang w:eastAsia="hr-HR"/>
        </w:rPr>
        <w:t xml:space="preserve"> (</w:t>
      </w:r>
      <w:r w:rsidR="00BE2797" w:rsidRPr="008C3AC8">
        <w:rPr>
          <w:rFonts w:cs="Arial"/>
          <w:lang w:eastAsia="hr-HR"/>
        </w:rPr>
        <w:t>NN</w:t>
      </w:r>
      <w:r w:rsidR="0021279A" w:rsidRPr="008C3AC8">
        <w:rPr>
          <w:rFonts w:cs="Arial"/>
          <w:lang w:eastAsia="hr-HR"/>
        </w:rPr>
        <w:t xml:space="preserve"> 119/2022</w:t>
      </w:r>
      <w:r w:rsidR="00601DC4" w:rsidRPr="008C3AC8">
        <w:rPr>
          <w:rFonts w:cs="Arial"/>
          <w:lang w:eastAsia="hr-HR"/>
        </w:rPr>
        <w:t>)</w:t>
      </w:r>
      <w:r w:rsidR="00BE2797" w:rsidRPr="008C3AC8">
        <w:rPr>
          <w:rFonts w:cs="Arial"/>
          <w:lang w:eastAsia="hr-HR"/>
        </w:rPr>
        <w:t xml:space="preserve">, </w:t>
      </w:r>
      <w:r w:rsidR="0021279A" w:rsidRPr="008C3AC8">
        <w:rPr>
          <w:rFonts w:cs="Arial"/>
          <w:lang w:eastAsia="hr-HR"/>
        </w:rPr>
        <w:t>Zakon o osiguravanju kvalitete u visokom obrazovanju i znanosti</w:t>
      </w:r>
      <w:r w:rsidR="00BE2797" w:rsidRPr="008C3AC8">
        <w:rPr>
          <w:rFonts w:cs="Arial"/>
          <w:lang w:eastAsia="hr-HR"/>
        </w:rPr>
        <w:t xml:space="preserve"> </w:t>
      </w:r>
      <w:r w:rsidR="00601DC4" w:rsidRPr="008C3AC8">
        <w:rPr>
          <w:rFonts w:cs="Arial"/>
          <w:lang w:eastAsia="hr-HR"/>
        </w:rPr>
        <w:t>(</w:t>
      </w:r>
      <w:r w:rsidR="00BE2797" w:rsidRPr="008C3AC8">
        <w:rPr>
          <w:rFonts w:cs="Arial"/>
          <w:lang w:eastAsia="hr-HR"/>
        </w:rPr>
        <w:t>NN</w:t>
      </w:r>
      <w:r w:rsidR="003D000C" w:rsidRPr="008C3AC8">
        <w:rPr>
          <w:rFonts w:cs="Arial"/>
          <w:lang w:eastAsia="hr-HR"/>
        </w:rPr>
        <w:t xml:space="preserve"> </w:t>
      </w:r>
      <w:r w:rsidR="0021279A" w:rsidRPr="008C3AC8">
        <w:rPr>
          <w:rFonts w:cs="Arial"/>
          <w:lang w:eastAsia="hr-HR"/>
        </w:rPr>
        <w:t>151/2022</w:t>
      </w:r>
      <w:r w:rsidR="00601DC4" w:rsidRPr="008C3AC8">
        <w:rPr>
          <w:rFonts w:cs="Arial"/>
          <w:lang w:eastAsia="hr-HR"/>
        </w:rPr>
        <w:t>),</w:t>
      </w:r>
      <w:r w:rsidR="00BE2797" w:rsidRPr="008C3AC8">
        <w:rPr>
          <w:rFonts w:cs="Arial"/>
          <w:lang w:eastAsia="hr-HR"/>
        </w:rPr>
        <w:t xml:space="preserve"> </w:t>
      </w:r>
      <w:r w:rsidR="0021279A" w:rsidRPr="008C3AC8">
        <w:rPr>
          <w:rFonts w:cs="Arial"/>
          <w:lang w:eastAsia="hr-HR"/>
        </w:rPr>
        <w:t>Zakon o Hrvatskoj zakladi za znanost</w:t>
      </w:r>
      <w:r w:rsidR="00BE2797" w:rsidRPr="008C3AC8">
        <w:rPr>
          <w:rFonts w:cs="Arial"/>
          <w:lang w:eastAsia="hr-HR"/>
        </w:rPr>
        <w:t xml:space="preserve"> NN</w:t>
      </w:r>
      <w:r w:rsidR="003D000C" w:rsidRPr="008C3AC8">
        <w:rPr>
          <w:rFonts w:cs="Arial"/>
          <w:lang w:eastAsia="hr-HR"/>
        </w:rPr>
        <w:t xml:space="preserve"> </w:t>
      </w:r>
      <w:r w:rsidR="0021279A" w:rsidRPr="008C3AC8">
        <w:rPr>
          <w:rFonts w:cs="Arial"/>
          <w:lang w:eastAsia="hr-HR"/>
        </w:rPr>
        <w:t>br. 117/2001, 47/2009, 41/2023</w:t>
      </w:r>
      <w:r w:rsidR="00BE2797" w:rsidRPr="008C3AC8">
        <w:rPr>
          <w:rFonts w:cs="Arial"/>
          <w:lang w:eastAsia="hr-HR"/>
        </w:rPr>
        <w:t xml:space="preserve">, </w:t>
      </w:r>
      <w:r w:rsidR="00601DC4" w:rsidRPr="008C3AC8">
        <w:rPr>
          <w:rFonts w:cs="Arial"/>
        </w:rPr>
        <w:t>Pravilnik o mjerilima i načinu korištenja nenamjenskih donacija i vlastitih prihoda proračunskih korisnika iz nadležnosti Ministarstva znanosti, obrazovanja i mladih (</w:t>
      </w:r>
      <w:r w:rsidR="00BE2797" w:rsidRPr="008C3AC8">
        <w:rPr>
          <w:rFonts w:cs="Arial"/>
        </w:rPr>
        <w:t>NN 79/2024</w:t>
      </w:r>
      <w:r w:rsidR="00601DC4" w:rsidRPr="008C3AC8">
        <w:rPr>
          <w:rFonts w:cs="Arial"/>
        </w:rPr>
        <w:t>)</w:t>
      </w:r>
      <w:r w:rsidR="00BE2797" w:rsidRPr="008C3AC8">
        <w:rPr>
          <w:rFonts w:cs="Arial"/>
        </w:rPr>
        <w:t>,</w:t>
      </w:r>
      <w:r w:rsidR="00601DC4" w:rsidRPr="008C3AC8">
        <w:rPr>
          <w:rFonts w:cs="Arial"/>
        </w:rPr>
        <w:t xml:space="preserve"> Programski ugovor Instituta za povijest umjetnosti (KLASA: 643-02/23-01/00016, URBROJ: 533-03-23-0019), ugovori o provedbi projekata s Hrvatskom zakladom za znanost, Europskom komisijom i drugim međunarodnim i nacionalnim institucijama.</w:t>
      </w:r>
    </w:p>
    <w:p w:rsidR="00F5616E" w:rsidRPr="008C3AC8" w:rsidRDefault="004558AC" w:rsidP="00146D89">
      <w:pPr>
        <w:spacing w:after="0" w:line="276" w:lineRule="auto"/>
        <w:rPr>
          <w:rFonts w:cs="Arial"/>
        </w:rPr>
      </w:pPr>
      <w:r w:rsidRPr="008C3AC8">
        <w:rPr>
          <w:rFonts w:eastAsia="Times New Roman" w:cs="Arial"/>
          <w:b/>
          <w:bCs/>
          <w:lang w:eastAsia="hr-HR"/>
        </w:rPr>
        <w:t>Opis aktivnosti:</w:t>
      </w:r>
      <w:r w:rsidR="003D000C" w:rsidRPr="008C3AC8">
        <w:rPr>
          <w:rFonts w:eastAsia="Times New Roman" w:cs="Arial"/>
          <w:lang w:eastAsia="hr-HR"/>
        </w:rPr>
        <w:t xml:space="preserve"> </w:t>
      </w:r>
      <w:r w:rsidR="00601DC4" w:rsidRPr="008C3AC8">
        <w:rPr>
          <w:rFonts w:cs="Arial"/>
        </w:rPr>
        <w:t xml:space="preserve">Aktivnost obuhvaća provedbu kompetitivnih istraživačkih projekata, međunarodnih suradnji te ugovorenih stručnih </w:t>
      </w:r>
      <w:r w:rsidR="0067398D">
        <w:rPr>
          <w:rFonts w:cs="Arial"/>
        </w:rPr>
        <w:t xml:space="preserve">projekata </w:t>
      </w:r>
      <w:r w:rsidR="00601DC4" w:rsidRPr="008C3AC8">
        <w:rPr>
          <w:rFonts w:cs="Arial"/>
        </w:rPr>
        <w:t>i izdavačke djelatnosti Instituta. Projekti se realiziraju u suradnji s nacionalnim i međunarodnim partnerima, financirani su iz više izvora financiranja.</w:t>
      </w:r>
    </w:p>
    <w:p w:rsidR="00F5616E" w:rsidRPr="008C3AC8" w:rsidRDefault="00F5616E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Fonts w:asciiTheme="minorHAnsi" w:hAnsiTheme="minorHAnsi" w:cs="Arial"/>
          <w:sz w:val="22"/>
          <w:szCs w:val="22"/>
        </w:rPr>
        <w:t xml:space="preserve">U prijedlogu financijskog plana za razdoblje 2026.–2028. prikazani su prihodi i rashodi projekata za koje su potpisani ugovori, osigurano </w:t>
      </w:r>
      <w:proofErr w:type="spellStart"/>
      <w:r w:rsidRPr="008C3AC8">
        <w:rPr>
          <w:rFonts w:asciiTheme="minorHAnsi" w:hAnsiTheme="minorHAnsi" w:cs="Arial"/>
          <w:sz w:val="22"/>
          <w:szCs w:val="22"/>
        </w:rPr>
        <w:t>predfinanciranje</w:t>
      </w:r>
      <w:proofErr w:type="spellEnd"/>
      <w:r w:rsidRPr="008C3AC8">
        <w:rPr>
          <w:rFonts w:asciiTheme="minorHAnsi" w:hAnsiTheme="minorHAnsi" w:cs="Arial"/>
          <w:sz w:val="22"/>
          <w:szCs w:val="22"/>
        </w:rPr>
        <w:t xml:space="preserve"> ili postoji potvrda o financiranju. Iznimno, na </w:t>
      </w:r>
      <w:r w:rsidRPr="008C3AC8">
        <w:rPr>
          <w:rFonts w:asciiTheme="minorHAnsi" w:hAnsiTheme="minorHAnsi" w:cs="Arial"/>
          <w:sz w:val="22"/>
          <w:szCs w:val="22"/>
        </w:rPr>
        <w:lastRenderedPageBreak/>
        <w:t xml:space="preserve">izvorima 52 – Ostale pomoći (iz proračuna gradova) i 31 – Vlastiti prihodi od prodaje i pruženih usluga, uz ugovorene projekte EKP podloga za razdoblje 2024.–2026., prihodi i rashodi </w:t>
      </w:r>
      <w:r w:rsidR="0067398D">
        <w:rPr>
          <w:rFonts w:asciiTheme="minorHAnsi" w:hAnsiTheme="minorHAnsi" w:cs="Arial"/>
          <w:sz w:val="22"/>
          <w:szCs w:val="22"/>
        </w:rPr>
        <w:t xml:space="preserve">planirani </w:t>
      </w:r>
      <w:r w:rsidRPr="008C3AC8">
        <w:rPr>
          <w:rFonts w:asciiTheme="minorHAnsi" w:hAnsiTheme="minorHAnsi" w:cs="Arial"/>
          <w:sz w:val="22"/>
          <w:szCs w:val="22"/>
        </w:rPr>
        <w:t>su kao procijenjeni iznosi.</w:t>
      </w:r>
    </w:p>
    <w:p w:rsidR="00E841AB" w:rsidRPr="008C3AC8" w:rsidRDefault="00E841AB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Style w:val="Strong"/>
          <w:rFonts w:asciiTheme="minorHAnsi" w:hAnsiTheme="minorHAnsi" w:cs="Arial"/>
          <w:sz w:val="22"/>
          <w:szCs w:val="22"/>
        </w:rPr>
        <w:t>Ciljevi:</w:t>
      </w:r>
      <w:r w:rsidRPr="008C3AC8">
        <w:rPr>
          <w:rFonts w:asciiTheme="minorHAnsi" w:hAnsiTheme="minorHAnsi" w:cs="Arial"/>
          <w:sz w:val="22"/>
          <w:szCs w:val="22"/>
        </w:rPr>
        <w:t xml:space="preserve"> </w:t>
      </w:r>
      <w:r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Povećanje sudjelovanja Instituta u kompetitivnom projektnom financiranju</w:t>
      </w:r>
      <w:r w:rsidR="00146D89" w:rsidRPr="008C3AC8">
        <w:rPr>
          <w:rFonts w:asciiTheme="minorHAnsi" w:hAnsiTheme="minorHAnsi" w:cs="Arial"/>
          <w:sz w:val="22"/>
          <w:szCs w:val="22"/>
        </w:rPr>
        <w:t xml:space="preserve">, </w:t>
      </w:r>
      <w:r w:rsidRPr="008C3AC8">
        <w:rPr>
          <w:rFonts w:asciiTheme="minorHAnsi" w:hAnsiTheme="minorHAnsi" w:cs="Arial"/>
          <w:sz w:val="22"/>
          <w:szCs w:val="22"/>
        </w:rPr>
        <w:t>program</w:t>
      </w:r>
      <w:r w:rsidR="00146D89" w:rsidRPr="008C3AC8">
        <w:rPr>
          <w:rFonts w:asciiTheme="minorHAnsi" w:hAnsiTheme="minorHAnsi" w:cs="Arial"/>
          <w:sz w:val="22"/>
          <w:szCs w:val="22"/>
        </w:rPr>
        <w:t xml:space="preserve">ima </w:t>
      </w:r>
      <w:r w:rsidRPr="008C3AC8">
        <w:rPr>
          <w:rFonts w:asciiTheme="minorHAnsi" w:hAnsiTheme="minorHAnsi" w:cs="Arial"/>
          <w:sz w:val="22"/>
          <w:szCs w:val="22"/>
        </w:rPr>
        <w:t>Europske unije (</w:t>
      </w:r>
      <w:proofErr w:type="spellStart"/>
      <w:r w:rsidRPr="008C3AC8">
        <w:rPr>
          <w:rFonts w:asciiTheme="minorHAnsi" w:hAnsiTheme="minorHAnsi" w:cs="Arial"/>
          <w:sz w:val="22"/>
          <w:szCs w:val="22"/>
        </w:rPr>
        <w:t>Horizon</w:t>
      </w:r>
      <w:proofErr w:type="spellEnd"/>
      <w:r w:rsidRPr="008C3AC8">
        <w:rPr>
          <w:rFonts w:asciiTheme="minorHAnsi" w:hAnsiTheme="minorHAnsi" w:cs="Arial"/>
          <w:sz w:val="22"/>
          <w:szCs w:val="22"/>
        </w:rPr>
        <w:t xml:space="preserve"> Europe, ERC, MSCA) i nacionaln</w:t>
      </w:r>
      <w:r w:rsidR="00146D89" w:rsidRPr="008C3AC8">
        <w:rPr>
          <w:rFonts w:asciiTheme="minorHAnsi" w:hAnsiTheme="minorHAnsi" w:cs="Arial"/>
          <w:sz w:val="22"/>
          <w:szCs w:val="22"/>
        </w:rPr>
        <w:t>im</w:t>
      </w:r>
      <w:r w:rsidRPr="008C3AC8">
        <w:rPr>
          <w:rFonts w:asciiTheme="minorHAnsi" w:hAnsiTheme="minorHAnsi" w:cs="Arial"/>
          <w:sz w:val="22"/>
          <w:szCs w:val="22"/>
        </w:rPr>
        <w:t xml:space="preserve"> izvor</w:t>
      </w:r>
      <w:r w:rsidR="00146D89" w:rsidRPr="008C3AC8">
        <w:rPr>
          <w:rFonts w:asciiTheme="minorHAnsi" w:hAnsiTheme="minorHAnsi" w:cs="Arial"/>
          <w:sz w:val="22"/>
          <w:szCs w:val="22"/>
        </w:rPr>
        <w:t>ima</w:t>
      </w:r>
      <w:r w:rsidRPr="008C3AC8">
        <w:rPr>
          <w:rFonts w:asciiTheme="minorHAnsi" w:hAnsiTheme="minorHAnsi" w:cs="Arial"/>
          <w:sz w:val="22"/>
          <w:szCs w:val="22"/>
        </w:rPr>
        <w:t xml:space="preserve"> financiranja (Hrvatska zaklada za znanost).</w:t>
      </w:r>
    </w:p>
    <w:p w:rsidR="00601DC4" w:rsidRPr="008C3AC8" w:rsidRDefault="004558AC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Provedba:</w:t>
      </w:r>
      <w:r w:rsidR="00146D89" w:rsidRPr="008C3AC8">
        <w:rPr>
          <w:rFonts w:eastAsia="Times New Roman" w:cs="Arial"/>
          <w:lang w:eastAsia="hr-HR"/>
        </w:rPr>
        <w:t xml:space="preserve"> </w:t>
      </w:r>
      <w:r w:rsidR="00E841AB" w:rsidRPr="008C3AC8">
        <w:rPr>
          <w:rFonts w:cs="Arial"/>
        </w:rPr>
        <w:t>Provedba ove aktivnosti odvija se na temelju ugovora i godišnjeg programa rada Instituta. Projekti se realiziraju u suradnji s nacionalnim i međunarodnim partnerima, uz redovito izvještavanje o napretku i rezultatima.</w:t>
      </w:r>
      <w:r w:rsidR="00E841AB" w:rsidRPr="008C3AC8">
        <w:rPr>
          <w:rFonts w:eastAsia="Times New Roman" w:cs="Arial"/>
          <w:lang w:eastAsia="hr-HR"/>
        </w:rPr>
        <w:t xml:space="preserve"> 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595F86" w:rsidRPr="008C3AC8" w:rsidRDefault="00595F86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Financijski plan:</w:t>
      </w:r>
    </w:p>
    <w:p w:rsidR="00595F86" w:rsidRPr="008C3AC8" w:rsidRDefault="00595F86" w:rsidP="00146D89">
      <w:pPr>
        <w:spacing w:after="0" w:line="276" w:lineRule="auto"/>
        <w:ind w:left="720"/>
        <w:rPr>
          <w:rFonts w:eastAsia="Times New Roman" w:cs="Arial"/>
          <w:lang w:eastAsia="hr-H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60"/>
        <w:gridCol w:w="1660"/>
      </w:tblGrid>
      <w:tr w:rsidR="002423E4" w:rsidRPr="008C3AC8" w:rsidTr="00146D89"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Izvršenje 2024.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2025.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2026.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2027.</w:t>
            </w:r>
          </w:p>
        </w:tc>
        <w:tc>
          <w:tcPr>
            <w:tcW w:w="1660" w:type="dxa"/>
            <w:shd w:val="clear" w:color="auto" w:fill="D0CECE" w:themeFill="background2" w:themeFillShade="E6"/>
            <w:vAlign w:val="center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lang w:eastAsia="hr-HR"/>
              </w:rPr>
              <w:t>Plan 2028.</w:t>
            </w:r>
          </w:p>
        </w:tc>
      </w:tr>
      <w:tr w:rsidR="002423E4" w:rsidRPr="008C3AC8" w:rsidTr="00193476">
        <w:trPr>
          <w:trHeight w:val="369"/>
        </w:trPr>
        <w:tc>
          <w:tcPr>
            <w:tcW w:w="1659" w:type="dxa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756.975</w:t>
            </w:r>
          </w:p>
        </w:tc>
        <w:tc>
          <w:tcPr>
            <w:tcW w:w="1659" w:type="dxa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718.853</w:t>
            </w:r>
          </w:p>
        </w:tc>
        <w:tc>
          <w:tcPr>
            <w:tcW w:w="1659" w:type="dxa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1.066.944</w:t>
            </w:r>
          </w:p>
        </w:tc>
        <w:tc>
          <w:tcPr>
            <w:tcW w:w="1660" w:type="dxa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577.176</w:t>
            </w:r>
          </w:p>
        </w:tc>
        <w:tc>
          <w:tcPr>
            <w:tcW w:w="1660" w:type="dxa"/>
          </w:tcPr>
          <w:p w:rsidR="00595F86" w:rsidRPr="008C3AC8" w:rsidRDefault="00595F86" w:rsidP="00146D89">
            <w:pPr>
              <w:spacing w:line="276" w:lineRule="auto"/>
              <w:jc w:val="center"/>
              <w:rPr>
                <w:rFonts w:eastAsia="Times New Roman" w:cs="Arial"/>
                <w:lang w:eastAsia="hr-HR"/>
              </w:rPr>
            </w:pPr>
            <w:r w:rsidRPr="008C3AC8">
              <w:rPr>
                <w:rFonts w:eastAsia="Times New Roman" w:cs="Arial"/>
                <w:lang w:eastAsia="hr-HR"/>
              </w:rPr>
              <w:t>489.109</w:t>
            </w:r>
          </w:p>
        </w:tc>
      </w:tr>
    </w:tbl>
    <w:p w:rsidR="00595F86" w:rsidRPr="008C3AC8" w:rsidRDefault="00595F86" w:rsidP="00146D89">
      <w:pPr>
        <w:spacing w:after="0" w:line="276" w:lineRule="auto"/>
        <w:rPr>
          <w:rFonts w:cs="Arial"/>
        </w:rPr>
      </w:pPr>
    </w:p>
    <w:p w:rsidR="002A70DC" w:rsidRPr="008C3AC8" w:rsidRDefault="00E841AB" w:rsidP="00146D89">
      <w:pPr>
        <w:pStyle w:val="NormalWeb"/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 w:rsidRPr="008C3AC8">
        <w:rPr>
          <w:rFonts w:asciiTheme="minorHAnsi" w:hAnsiTheme="minorHAnsi" w:cs="Arial"/>
          <w:sz w:val="22"/>
          <w:szCs w:val="22"/>
        </w:rPr>
        <w:t>Sredstva za provedbu ove aktivnosti osigurana su iz izvora:</w:t>
      </w:r>
    </w:p>
    <w:p w:rsidR="00E841AB" w:rsidRPr="008C3AC8" w:rsidRDefault="00E841AB" w:rsidP="00146D89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b/>
          <w:sz w:val="22"/>
          <w:szCs w:val="22"/>
        </w:rPr>
      </w:pPr>
      <w:r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31 – Vlastiti prihodi</w:t>
      </w:r>
    </w:p>
    <w:p w:rsidR="00E841AB" w:rsidRPr="008C3AC8" w:rsidRDefault="00E841AB" w:rsidP="00146D89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b/>
          <w:sz w:val="22"/>
          <w:szCs w:val="22"/>
        </w:rPr>
      </w:pPr>
      <w:r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52 – Ostale pomoći</w:t>
      </w:r>
    </w:p>
    <w:p w:rsidR="00E841AB" w:rsidRPr="008C3AC8" w:rsidRDefault="00E841AB" w:rsidP="00146D89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b/>
          <w:sz w:val="22"/>
          <w:szCs w:val="22"/>
        </w:rPr>
      </w:pPr>
      <w:r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51000 i 533 – Programi Unije</w:t>
      </w:r>
      <w:r w:rsidRPr="008C3AC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C3AC8">
        <w:rPr>
          <w:rFonts w:asciiTheme="minorHAnsi" w:hAnsiTheme="minorHAnsi" w:cs="Arial"/>
          <w:sz w:val="22"/>
          <w:szCs w:val="22"/>
        </w:rPr>
        <w:t>i Ostale darovnice</w:t>
      </w:r>
    </w:p>
    <w:p w:rsidR="00E841AB" w:rsidRPr="008C3AC8" w:rsidRDefault="00E841AB" w:rsidP="00146D89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b/>
          <w:sz w:val="22"/>
          <w:szCs w:val="22"/>
        </w:rPr>
      </w:pPr>
      <w:r w:rsidRPr="008C3AC8">
        <w:rPr>
          <w:rStyle w:val="Strong"/>
          <w:rFonts w:asciiTheme="minorHAnsi" w:hAnsiTheme="minorHAnsi" w:cs="Arial"/>
          <w:b w:val="0"/>
          <w:sz w:val="22"/>
          <w:szCs w:val="22"/>
        </w:rPr>
        <w:t>5011 – Pomoći iz državnog proračuna</w:t>
      </w:r>
    </w:p>
    <w:p w:rsidR="00BC22C8" w:rsidRPr="008C3AC8" w:rsidRDefault="00E841AB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67"/>
        <w:gridCol w:w="1503"/>
        <w:gridCol w:w="1503"/>
        <w:gridCol w:w="1503"/>
        <w:gridCol w:w="1503"/>
      </w:tblGrid>
      <w:tr w:rsidR="002423E4" w:rsidRPr="008C3AC8" w:rsidTr="00BC22C8">
        <w:tc>
          <w:tcPr>
            <w:tcW w:w="1838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cs="Arial"/>
                <w:b/>
                <w:sz w:val="18"/>
              </w:rPr>
              <w:t>Izvor financiranja</w:t>
            </w:r>
          </w:p>
        </w:tc>
        <w:tc>
          <w:tcPr>
            <w:tcW w:w="1167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Izvršenje 2024.</w:t>
            </w:r>
          </w:p>
        </w:tc>
        <w:tc>
          <w:tcPr>
            <w:tcW w:w="1503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Plan 2025.</w:t>
            </w:r>
          </w:p>
        </w:tc>
        <w:tc>
          <w:tcPr>
            <w:tcW w:w="1503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1503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Plan 2027.</w:t>
            </w:r>
          </w:p>
        </w:tc>
        <w:tc>
          <w:tcPr>
            <w:tcW w:w="1503" w:type="dxa"/>
            <w:shd w:val="clear" w:color="auto" w:fill="D0CECE" w:themeFill="background2" w:themeFillShade="E6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Plan 2028.</w:t>
            </w:r>
          </w:p>
        </w:tc>
      </w:tr>
      <w:tr w:rsidR="002423E4" w:rsidRPr="008C3AC8" w:rsidTr="00BC22C8">
        <w:tc>
          <w:tcPr>
            <w:tcW w:w="1838" w:type="dxa"/>
          </w:tcPr>
          <w:p w:rsidR="00FC5B64" w:rsidRPr="008C3AC8" w:rsidRDefault="00FC5B64" w:rsidP="00146D89">
            <w:pPr>
              <w:spacing w:line="276" w:lineRule="auto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51000, Program</w:t>
            </w:r>
            <w:r w:rsidR="002A70DC" w:rsidRPr="008C3AC8">
              <w:rPr>
                <w:rFonts w:cs="Arial"/>
                <w:sz w:val="18"/>
              </w:rPr>
              <w:t>i</w:t>
            </w:r>
            <w:r w:rsidRPr="008C3AC8">
              <w:rPr>
                <w:rFonts w:cs="Arial"/>
                <w:sz w:val="18"/>
              </w:rPr>
              <w:t xml:space="preserve"> Unije – raspoloživ predujam</w:t>
            </w:r>
          </w:p>
        </w:tc>
        <w:tc>
          <w:tcPr>
            <w:tcW w:w="1167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487.000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457.500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392.500</w:t>
            </w:r>
          </w:p>
        </w:tc>
      </w:tr>
      <w:tr w:rsidR="002423E4" w:rsidRPr="008C3AC8" w:rsidTr="00BC22C8">
        <w:tc>
          <w:tcPr>
            <w:tcW w:w="1838" w:type="dxa"/>
          </w:tcPr>
          <w:p w:rsidR="00FC5B64" w:rsidRPr="008C3AC8" w:rsidRDefault="00FC5B64" w:rsidP="00146D89">
            <w:pPr>
              <w:spacing w:line="276" w:lineRule="auto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533, Ostale darovnice</w:t>
            </w:r>
          </w:p>
        </w:tc>
        <w:tc>
          <w:tcPr>
            <w:tcW w:w="1167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8.280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9.825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9.825</w:t>
            </w:r>
          </w:p>
        </w:tc>
      </w:tr>
      <w:tr w:rsidR="002423E4" w:rsidRPr="008C3AC8" w:rsidTr="00BC22C8">
        <w:tc>
          <w:tcPr>
            <w:tcW w:w="1838" w:type="dxa"/>
          </w:tcPr>
          <w:p w:rsidR="00FC5B64" w:rsidRPr="008C3AC8" w:rsidRDefault="00FC5B64" w:rsidP="00146D89">
            <w:pPr>
              <w:spacing w:line="276" w:lineRule="auto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5011, Pomoći iz državnog proračuna</w:t>
            </w:r>
          </w:p>
        </w:tc>
        <w:tc>
          <w:tcPr>
            <w:tcW w:w="1167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195.882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120.611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77.757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35.351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11.784</w:t>
            </w:r>
          </w:p>
        </w:tc>
      </w:tr>
      <w:tr w:rsidR="002423E4" w:rsidRPr="008C3AC8" w:rsidTr="00BC22C8">
        <w:tc>
          <w:tcPr>
            <w:tcW w:w="1838" w:type="dxa"/>
          </w:tcPr>
          <w:p w:rsidR="00FC5B64" w:rsidRPr="008C3AC8" w:rsidRDefault="00FC5B64" w:rsidP="00146D89">
            <w:pPr>
              <w:spacing w:line="276" w:lineRule="auto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52, Ostale pomoći</w:t>
            </w:r>
          </w:p>
        </w:tc>
        <w:tc>
          <w:tcPr>
            <w:tcW w:w="1167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9.950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14.000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14.500</w:t>
            </w:r>
          </w:p>
        </w:tc>
        <w:tc>
          <w:tcPr>
            <w:tcW w:w="1503" w:type="dxa"/>
            <w:vAlign w:val="center"/>
          </w:tcPr>
          <w:p w:rsidR="00FC5B64" w:rsidRPr="008C3AC8" w:rsidRDefault="00FC5B64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15.000</w:t>
            </w:r>
          </w:p>
        </w:tc>
      </w:tr>
      <w:tr w:rsidR="002423E4" w:rsidRPr="008C3AC8" w:rsidTr="00BC22C8">
        <w:tc>
          <w:tcPr>
            <w:tcW w:w="1838" w:type="dxa"/>
          </w:tcPr>
          <w:p w:rsidR="00FC5B64" w:rsidRPr="008C3AC8" w:rsidRDefault="00FC5B64" w:rsidP="00146D89">
            <w:pPr>
              <w:spacing w:line="276" w:lineRule="auto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31, Vlastiti prihodi</w:t>
            </w:r>
          </w:p>
        </w:tc>
        <w:tc>
          <w:tcPr>
            <w:tcW w:w="1167" w:type="dxa"/>
            <w:vAlign w:val="center"/>
          </w:tcPr>
          <w:p w:rsidR="00FC5B64" w:rsidRPr="008C3AC8" w:rsidRDefault="00D068A5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554.592</w:t>
            </w:r>
          </w:p>
        </w:tc>
        <w:tc>
          <w:tcPr>
            <w:tcW w:w="1503" w:type="dxa"/>
            <w:vAlign w:val="center"/>
          </w:tcPr>
          <w:p w:rsidR="00FC5B64" w:rsidRPr="008C3AC8" w:rsidRDefault="00D068A5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585.592</w:t>
            </w:r>
          </w:p>
        </w:tc>
        <w:tc>
          <w:tcPr>
            <w:tcW w:w="1503" w:type="dxa"/>
            <w:vAlign w:val="center"/>
          </w:tcPr>
          <w:p w:rsidR="00FC5B64" w:rsidRPr="008C3AC8" w:rsidRDefault="00D068A5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479.907</w:t>
            </w:r>
          </w:p>
        </w:tc>
        <w:tc>
          <w:tcPr>
            <w:tcW w:w="1503" w:type="dxa"/>
            <w:vAlign w:val="center"/>
          </w:tcPr>
          <w:p w:rsidR="00FC5B64" w:rsidRPr="008C3AC8" w:rsidRDefault="00D068A5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60.000</w:t>
            </w:r>
          </w:p>
        </w:tc>
        <w:tc>
          <w:tcPr>
            <w:tcW w:w="1503" w:type="dxa"/>
            <w:vAlign w:val="center"/>
          </w:tcPr>
          <w:p w:rsidR="00FC5B64" w:rsidRPr="008C3AC8" w:rsidRDefault="00D068A5" w:rsidP="00146D89">
            <w:pPr>
              <w:spacing w:line="276" w:lineRule="auto"/>
              <w:jc w:val="center"/>
              <w:rPr>
                <w:rFonts w:eastAsia="Times New Roman" w:cs="Arial"/>
                <w:bCs/>
                <w:sz w:val="18"/>
                <w:lang w:eastAsia="hr-HR"/>
              </w:rPr>
            </w:pPr>
            <w:r w:rsidRPr="008C3AC8">
              <w:rPr>
                <w:rFonts w:eastAsia="Times New Roman" w:cs="Arial"/>
                <w:bCs/>
                <w:sz w:val="18"/>
                <w:lang w:eastAsia="hr-HR"/>
              </w:rPr>
              <w:t>60.000</w:t>
            </w:r>
          </w:p>
        </w:tc>
      </w:tr>
    </w:tbl>
    <w:p w:rsidR="00F5616E" w:rsidRPr="008C3AC8" w:rsidRDefault="00F5616E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A70DC" w:rsidRPr="008C3AC8" w:rsidRDefault="00F5616E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Aktivnost se sastoji od sljedećih elemenata/</w:t>
      </w:r>
      <w:proofErr w:type="spellStart"/>
      <w:r w:rsidRPr="008C3AC8">
        <w:rPr>
          <w:rFonts w:eastAsia="Times New Roman" w:cs="Arial"/>
          <w:b/>
          <w:bCs/>
          <w:lang w:eastAsia="hr-HR"/>
        </w:rPr>
        <w:t>podaktivnosti</w:t>
      </w:r>
      <w:proofErr w:type="spellEnd"/>
      <w:r w:rsidRPr="008C3AC8">
        <w:rPr>
          <w:rFonts w:eastAsia="Times New Roman" w:cs="Arial"/>
          <w:b/>
          <w:bCs/>
          <w:lang w:eastAsia="hr-HR"/>
        </w:rPr>
        <w:t>: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Provedba istraživačkog projekta </w:t>
      </w:r>
      <w:r w:rsidRPr="008C3AC8">
        <w:rPr>
          <w:rFonts w:eastAsia="Times New Roman" w:cs="Arial"/>
          <w:i/>
          <w:iCs/>
          <w:lang w:eastAsia="hr-HR"/>
        </w:rPr>
        <w:t>HOUSING.YU – Pravo na stan</w:t>
      </w:r>
      <w:r w:rsidRPr="008C3AC8">
        <w:rPr>
          <w:rFonts w:eastAsia="Times New Roman" w:cs="Arial"/>
          <w:lang w:eastAsia="hr-HR"/>
        </w:rPr>
        <w:t xml:space="preserve"> (</w:t>
      </w:r>
      <w:proofErr w:type="spellStart"/>
      <w:r w:rsidRPr="008C3AC8">
        <w:rPr>
          <w:rFonts w:eastAsia="Times New Roman" w:cs="Arial"/>
          <w:lang w:eastAsia="hr-HR"/>
        </w:rPr>
        <w:t>Horizon</w:t>
      </w:r>
      <w:proofErr w:type="spellEnd"/>
      <w:r w:rsidRPr="008C3AC8">
        <w:rPr>
          <w:rFonts w:eastAsia="Times New Roman" w:cs="Arial"/>
          <w:lang w:eastAsia="hr-HR"/>
        </w:rPr>
        <w:t xml:space="preserve"> Europe / ERC </w:t>
      </w:r>
      <w:proofErr w:type="spellStart"/>
      <w:r w:rsidRPr="008C3AC8">
        <w:rPr>
          <w:rFonts w:eastAsia="Times New Roman" w:cs="Arial"/>
          <w:lang w:eastAsia="hr-HR"/>
        </w:rPr>
        <w:t>Consolidator</w:t>
      </w:r>
      <w:proofErr w:type="spellEnd"/>
      <w:r w:rsidRPr="008C3AC8">
        <w:rPr>
          <w:rFonts w:eastAsia="Times New Roman" w:cs="Arial"/>
          <w:lang w:eastAsia="hr-HR"/>
        </w:rPr>
        <w:t xml:space="preserve"> Grant, 2025.–2030., voditeljica dr. </w:t>
      </w:r>
      <w:proofErr w:type="spellStart"/>
      <w:r w:rsidRPr="008C3AC8">
        <w:rPr>
          <w:rFonts w:eastAsia="Times New Roman" w:cs="Arial"/>
          <w:lang w:eastAsia="hr-HR"/>
        </w:rPr>
        <w:t>sc</w:t>
      </w:r>
      <w:proofErr w:type="spellEnd"/>
      <w:r w:rsidRPr="008C3AC8">
        <w:rPr>
          <w:rFonts w:eastAsia="Times New Roman" w:cs="Arial"/>
          <w:lang w:eastAsia="hr-HR"/>
        </w:rPr>
        <w:t xml:space="preserve">. Tamara </w:t>
      </w:r>
      <w:proofErr w:type="spellStart"/>
      <w:r w:rsidRPr="008C3AC8">
        <w:rPr>
          <w:rFonts w:eastAsia="Times New Roman" w:cs="Arial"/>
          <w:lang w:eastAsia="hr-HR"/>
        </w:rPr>
        <w:t>Bjažić</w:t>
      </w:r>
      <w:proofErr w:type="spellEnd"/>
      <w:r w:rsidRPr="008C3AC8">
        <w:rPr>
          <w:rFonts w:eastAsia="Times New Roman" w:cs="Arial"/>
          <w:lang w:eastAsia="hr-HR"/>
        </w:rPr>
        <w:t xml:space="preserve"> Klarin)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Provedba projekta mobilnosti </w:t>
      </w:r>
      <w:proofErr w:type="spellStart"/>
      <w:r w:rsidRPr="008C3AC8">
        <w:rPr>
          <w:rFonts w:eastAsia="Times New Roman" w:cs="Arial"/>
          <w:i/>
          <w:iCs/>
          <w:lang w:eastAsia="hr-HR"/>
        </w:rPr>
        <w:t>Heritage</w:t>
      </w:r>
      <w:proofErr w:type="spellEnd"/>
      <w:r w:rsidRPr="008C3AC8">
        <w:rPr>
          <w:rFonts w:eastAsia="Times New Roman" w:cs="Arial"/>
          <w:i/>
          <w:iCs/>
          <w:lang w:eastAsia="hr-HR"/>
        </w:rPr>
        <w:t xml:space="preserve"> </w:t>
      </w:r>
      <w:proofErr w:type="spellStart"/>
      <w:r w:rsidRPr="008C3AC8">
        <w:rPr>
          <w:rFonts w:eastAsia="Times New Roman" w:cs="Arial"/>
          <w:i/>
          <w:iCs/>
          <w:lang w:eastAsia="hr-HR"/>
        </w:rPr>
        <w:t>Protocols</w:t>
      </w:r>
      <w:proofErr w:type="spellEnd"/>
      <w:r w:rsidRPr="008C3AC8">
        <w:rPr>
          <w:rFonts w:eastAsia="Times New Roman" w:cs="Arial"/>
          <w:lang w:eastAsia="hr-HR"/>
        </w:rPr>
        <w:t xml:space="preserve"> (</w:t>
      </w:r>
      <w:proofErr w:type="spellStart"/>
      <w:r w:rsidRPr="008C3AC8">
        <w:rPr>
          <w:rFonts w:eastAsia="Times New Roman" w:cs="Arial"/>
          <w:lang w:eastAsia="hr-HR"/>
        </w:rPr>
        <w:t>Horizon</w:t>
      </w:r>
      <w:proofErr w:type="spellEnd"/>
      <w:r w:rsidRPr="008C3AC8">
        <w:rPr>
          <w:rFonts w:eastAsia="Times New Roman" w:cs="Arial"/>
          <w:lang w:eastAsia="hr-HR"/>
        </w:rPr>
        <w:t xml:space="preserve"> Europe / Marie </w:t>
      </w:r>
      <w:proofErr w:type="spellStart"/>
      <w:r w:rsidRPr="008C3AC8">
        <w:rPr>
          <w:rFonts w:eastAsia="Times New Roman" w:cs="Arial"/>
          <w:lang w:eastAsia="hr-HR"/>
        </w:rPr>
        <w:t>Skłodowska</w:t>
      </w:r>
      <w:proofErr w:type="spellEnd"/>
      <w:r w:rsidRPr="008C3AC8">
        <w:rPr>
          <w:rFonts w:eastAsia="Times New Roman" w:cs="Arial"/>
          <w:lang w:eastAsia="hr-HR"/>
        </w:rPr>
        <w:t xml:space="preserve">-Curie </w:t>
      </w:r>
      <w:proofErr w:type="spellStart"/>
      <w:r w:rsidRPr="008C3AC8">
        <w:rPr>
          <w:rFonts w:eastAsia="Times New Roman" w:cs="Arial"/>
          <w:lang w:eastAsia="hr-HR"/>
        </w:rPr>
        <w:t>Actions</w:t>
      </w:r>
      <w:proofErr w:type="spellEnd"/>
      <w:r w:rsidRPr="008C3AC8">
        <w:rPr>
          <w:rFonts w:eastAsia="Times New Roman" w:cs="Arial"/>
          <w:lang w:eastAsia="hr-HR"/>
        </w:rPr>
        <w:t xml:space="preserve"> – </w:t>
      </w:r>
      <w:proofErr w:type="spellStart"/>
      <w:r w:rsidRPr="008C3AC8">
        <w:rPr>
          <w:rFonts w:eastAsia="Times New Roman" w:cs="Arial"/>
          <w:lang w:eastAsia="hr-HR"/>
        </w:rPr>
        <w:t>Staff</w:t>
      </w:r>
      <w:proofErr w:type="spellEnd"/>
      <w:r w:rsidRPr="008C3AC8">
        <w:rPr>
          <w:rFonts w:eastAsia="Times New Roman" w:cs="Arial"/>
          <w:lang w:eastAsia="hr-HR"/>
        </w:rPr>
        <w:t xml:space="preserve"> </w:t>
      </w:r>
      <w:proofErr w:type="spellStart"/>
      <w:r w:rsidRPr="008C3AC8">
        <w:rPr>
          <w:rFonts w:eastAsia="Times New Roman" w:cs="Arial"/>
          <w:lang w:eastAsia="hr-HR"/>
        </w:rPr>
        <w:t>Exchanges</w:t>
      </w:r>
      <w:proofErr w:type="spellEnd"/>
      <w:r w:rsidRPr="008C3AC8">
        <w:rPr>
          <w:rFonts w:eastAsia="Times New Roman" w:cs="Arial"/>
          <w:lang w:eastAsia="hr-HR"/>
        </w:rPr>
        <w:t xml:space="preserve"> 2023., 2024.–2028., voditeljica dr. </w:t>
      </w:r>
      <w:proofErr w:type="spellStart"/>
      <w:r w:rsidRPr="008C3AC8">
        <w:rPr>
          <w:rFonts w:eastAsia="Times New Roman" w:cs="Arial"/>
          <w:lang w:eastAsia="hr-HR"/>
        </w:rPr>
        <w:t>sc</w:t>
      </w:r>
      <w:proofErr w:type="spellEnd"/>
      <w:r w:rsidRPr="008C3AC8">
        <w:rPr>
          <w:rFonts w:eastAsia="Times New Roman" w:cs="Arial"/>
          <w:lang w:eastAsia="hr-HR"/>
        </w:rPr>
        <w:t xml:space="preserve">. Darka Bilić, u suradnji s </w:t>
      </w:r>
      <w:proofErr w:type="spellStart"/>
      <w:r w:rsidRPr="008C3AC8">
        <w:rPr>
          <w:rFonts w:eastAsia="Times New Roman" w:cs="Arial"/>
          <w:lang w:eastAsia="hr-HR"/>
        </w:rPr>
        <w:t>Università</w:t>
      </w:r>
      <w:proofErr w:type="spellEnd"/>
      <w:r w:rsidRPr="008C3AC8">
        <w:rPr>
          <w:rFonts w:eastAsia="Times New Roman" w:cs="Arial"/>
          <w:lang w:eastAsia="hr-HR"/>
        </w:rPr>
        <w:t xml:space="preserve"> </w:t>
      </w:r>
      <w:proofErr w:type="spellStart"/>
      <w:r w:rsidRPr="008C3AC8">
        <w:rPr>
          <w:rFonts w:eastAsia="Times New Roman" w:cs="Arial"/>
          <w:lang w:eastAsia="hr-HR"/>
        </w:rPr>
        <w:t>degli</w:t>
      </w:r>
      <w:proofErr w:type="spellEnd"/>
      <w:r w:rsidRPr="008C3AC8">
        <w:rPr>
          <w:rFonts w:eastAsia="Times New Roman" w:cs="Arial"/>
          <w:lang w:eastAsia="hr-HR"/>
        </w:rPr>
        <w:t xml:space="preserve"> </w:t>
      </w:r>
      <w:proofErr w:type="spellStart"/>
      <w:r w:rsidRPr="008C3AC8">
        <w:rPr>
          <w:rFonts w:eastAsia="Times New Roman" w:cs="Arial"/>
          <w:lang w:eastAsia="hr-HR"/>
        </w:rPr>
        <w:t>Studi</w:t>
      </w:r>
      <w:proofErr w:type="spellEnd"/>
      <w:r w:rsidRPr="008C3AC8">
        <w:rPr>
          <w:rFonts w:eastAsia="Times New Roman" w:cs="Arial"/>
          <w:lang w:eastAsia="hr-HR"/>
        </w:rPr>
        <w:t xml:space="preserve"> di </w:t>
      </w:r>
      <w:proofErr w:type="spellStart"/>
      <w:r w:rsidRPr="008C3AC8">
        <w:rPr>
          <w:rFonts w:eastAsia="Times New Roman" w:cs="Arial"/>
          <w:lang w:eastAsia="hr-HR"/>
        </w:rPr>
        <w:t>Firenze</w:t>
      </w:r>
      <w:proofErr w:type="spellEnd"/>
      <w:r w:rsidRPr="008C3AC8">
        <w:rPr>
          <w:rFonts w:eastAsia="Times New Roman" w:cs="Arial"/>
          <w:lang w:eastAsia="hr-HR"/>
        </w:rPr>
        <w:t>, Italija)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Provedba dvaju istraživačkih projekata Hrvatske zaklade za znanost (2023.–2027.) te projekta razvoja karijere doktoranda (2021.–2026.)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Samostalna izdavačka djelatnost Instituta (znanstveni časopisi, monografije, zbornici, znanstvene publikacije)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Izrada konzervatorskih studija (kontinuirano) i e-konzervatorskih podloga za složene kulturno-povijesne cjeline (2024.–2026.)</w:t>
      </w:r>
    </w:p>
    <w:p w:rsidR="002A70DC" w:rsidRPr="008C3AC8" w:rsidRDefault="002A70DC" w:rsidP="00146D89">
      <w:pPr>
        <w:numPr>
          <w:ilvl w:val="0"/>
          <w:numId w:val="34"/>
        </w:num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Sudjelovanje i izlaganja na domaćim i međunarodnim znanstvenim skupovim</w:t>
      </w:r>
      <w:r w:rsidR="005F1A8E" w:rsidRPr="008C3AC8">
        <w:rPr>
          <w:rFonts w:eastAsia="Times New Roman" w:cs="Arial"/>
          <w:lang w:eastAsia="hr-HR"/>
        </w:rPr>
        <w:t>a</w:t>
      </w:r>
    </w:p>
    <w:p w:rsidR="00146D89" w:rsidRPr="008C3AC8" w:rsidRDefault="00146D89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146D89" w:rsidRPr="008C3AC8" w:rsidRDefault="00146D89" w:rsidP="00146D89">
      <w:pPr>
        <w:spacing w:after="0" w:line="276" w:lineRule="auto"/>
        <w:rPr>
          <w:rFonts w:cs="Arial"/>
        </w:rPr>
      </w:pPr>
      <w:r w:rsidRPr="008C3AC8">
        <w:rPr>
          <w:rFonts w:cs="Arial"/>
        </w:rPr>
        <w:lastRenderedPageBreak/>
        <w:t>Obrazloženje i ciljevi aktivnosti:</w:t>
      </w:r>
    </w:p>
    <w:p w:rsidR="005F1A8E" w:rsidRPr="008C3AC8" w:rsidRDefault="005F1A8E" w:rsidP="00146D89">
      <w:pPr>
        <w:spacing w:after="0" w:line="276" w:lineRule="auto"/>
        <w:rPr>
          <w:rFonts w:cs="Arial"/>
        </w:rPr>
      </w:pPr>
    </w:p>
    <w:p w:rsidR="002A70DC" w:rsidRPr="008C3AC8" w:rsidRDefault="002A70DC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1. </w:t>
      </w:r>
      <w:r w:rsidR="0067398D">
        <w:rPr>
          <w:rFonts w:eastAsia="Times New Roman" w:cs="Arial"/>
          <w:lang w:eastAsia="hr-HR"/>
        </w:rPr>
        <w:t>Ojačati s</w:t>
      </w:r>
      <w:bookmarkStart w:id="1" w:name="_GoBack"/>
      <w:bookmarkEnd w:id="1"/>
      <w:r w:rsidRPr="008C3AC8">
        <w:rPr>
          <w:rFonts w:eastAsia="Times New Roman" w:cs="Arial"/>
          <w:lang w:eastAsia="hr-HR"/>
        </w:rPr>
        <w:t>udjelovanje Instituta u kompetitivnom projektnom financiranju na nacionalnoj i međunarodnoj razini</w:t>
      </w:r>
    </w:p>
    <w:p w:rsidR="002A70DC" w:rsidRPr="008C3AC8" w:rsidRDefault="002A70DC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>2. Osigurati međunarodnu znanstvenu suradnju i mobilnost istraživača</w:t>
      </w:r>
    </w:p>
    <w:p w:rsidR="002A70DC" w:rsidRPr="008C3AC8" w:rsidRDefault="00F5616E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3. </w:t>
      </w:r>
      <w:r w:rsidR="005F1A8E" w:rsidRPr="008C3AC8">
        <w:rPr>
          <w:rFonts w:eastAsia="Times New Roman" w:cs="Arial"/>
          <w:lang w:eastAsia="hr-HR"/>
        </w:rPr>
        <w:t>R</w:t>
      </w:r>
      <w:r w:rsidR="002A70DC" w:rsidRPr="008C3AC8">
        <w:rPr>
          <w:rFonts w:eastAsia="Times New Roman" w:cs="Arial"/>
          <w:lang w:eastAsia="hr-HR"/>
        </w:rPr>
        <w:t xml:space="preserve">azvoj karijera mladih istraživača i </w:t>
      </w:r>
      <w:proofErr w:type="spellStart"/>
      <w:r w:rsidR="002A70DC" w:rsidRPr="008C3AC8">
        <w:rPr>
          <w:rFonts w:eastAsia="Times New Roman" w:cs="Arial"/>
          <w:lang w:eastAsia="hr-HR"/>
        </w:rPr>
        <w:t>doktoranada</w:t>
      </w:r>
      <w:proofErr w:type="spellEnd"/>
    </w:p>
    <w:p w:rsidR="002A70DC" w:rsidRPr="008C3AC8" w:rsidRDefault="00F5616E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4. </w:t>
      </w:r>
      <w:r w:rsidR="002A70DC" w:rsidRPr="008C3AC8">
        <w:rPr>
          <w:rFonts w:eastAsia="Times New Roman" w:cs="Arial"/>
          <w:lang w:eastAsia="hr-HR"/>
        </w:rPr>
        <w:t>Unaprijediti metodologiju zaštite kulturne baštine kroz izradu konzervatorskih</w:t>
      </w:r>
      <w:r w:rsidRPr="008C3AC8">
        <w:rPr>
          <w:rFonts w:eastAsia="Times New Roman" w:cs="Arial"/>
          <w:lang w:eastAsia="hr-HR"/>
        </w:rPr>
        <w:t xml:space="preserve"> </w:t>
      </w:r>
      <w:r w:rsidR="002A70DC" w:rsidRPr="008C3AC8">
        <w:rPr>
          <w:rFonts w:eastAsia="Times New Roman" w:cs="Arial"/>
          <w:lang w:eastAsia="hr-HR"/>
        </w:rPr>
        <w:t>podloga</w:t>
      </w:r>
    </w:p>
    <w:p w:rsidR="002A70DC" w:rsidRPr="008C3AC8" w:rsidRDefault="00F5616E" w:rsidP="00146D89">
      <w:pPr>
        <w:spacing w:after="0" w:line="276" w:lineRule="auto"/>
        <w:rPr>
          <w:rFonts w:eastAsia="Times New Roman" w:cs="Arial"/>
          <w:lang w:eastAsia="hr-HR"/>
        </w:rPr>
      </w:pPr>
      <w:r w:rsidRPr="008C3AC8">
        <w:rPr>
          <w:rFonts w:eastAsia="Times New Roman" w:cs="Arial"/>
          <w:lang w:eastAsia="hr-HR"/>
        </w:rPr>
        <w:t xml:space="preserve">5. </w:t>
      </w:r>
      <w:r w:rsidR="002A70DC" w:rsidRPr="008C3AC8">
        <w:rPr>
          <w:rFonts w:eastAsia="Times New Roman" w:cs="Arial"/>
          <w:lang w:eastAsia="hr-HR"/>
        </w:rPr>
        <w:t>Održavati izdavačku djelatnost Instituta</w:t>
      </w:r>
    </w:p>
    <w:p w:rsidR="00A9464C" w:rsidRPr="008C3AC8" w:rsidRDefault="00A9464C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</w:p>
    <w:p w:rsidR="0021279A" w:rsidRPr="008C3AC8" w:rsidRDefault="00A9464C" w:rsidP="00146D89">
      <w:pPr>
        <w:spacing w:after="0" w:line="276" w:lineRule="auto"/>
        <w:rPr>
          <w:rFonts w:cs="Arial"/>
        </w:rPr>
      </w:pPr>
      <w:r w:rsidRPr="008C3AC8">
        <w:rPr>
          <w:rFonts w:eastAsia="Times New Roman" w:cs="Arial"/>
          <w:lang w:eastAsia="hr-HR"/>
        </w:rPr>
        <w:t>Aktivnost izrada konzervatorskih studija</w:t>
      </w:r>
      <w:r w:rsidR="00146D89" w:rsidRPr="008C3AC8">
        <w:rPr>
          <w:rFonts w:cs="Arial"/>
        </w:rPr>
        <w:t xml:space="preserve"> </w:t>
      </w:r>
      <w:r w:rsidR="0021279A" w:rsidRPr="008C3AC8">
        <w:rPr>
          <w:rFonts w:cs="Arial"/>
        </w:rPr>
        <w:t>obuhvaća izradu konzervatorskih podloga, elaborata i studija, uključujući digitalne konzervatorske podloge. Projekti se provode u suradnji s Ministarstvom kulture</w:t>
      </w:r>
      <w:r w:rsidR="00B14927" w:rsidRPr="008C3AC8">
        <w:rPr>
          <w:rFonts w:cs="Arial"/>
        </w:rPr>
        <w:t xml:space="preserve"> i medija. </w:t>
      </w:r>
      <w:r w:rsidR="0021279A" w:rsidRPr="008C3AC8">
        <w:rPr>
          <w:rFonts w:cs="Arial"/>
        </w:rPr>
        <w:t>Fokus je na unaprjeđenju metodologije i alata za zaštitu kulturne baštine</w:t>
      </w:r>
      <w:r w:rsidR="00B14927" w:rsidRPr="008C3AC8">
        <w:rPr>
          <w:rFonts w:cs="Arial"/>
        </w:rPr>
        <w:t>, pri čemu Institut sudjeluje u analizi povijesnog u</w:t>
      </w:r>
      <w:r w:rsidR="00972CF3" w:rsidRPr="008C3AC8">
        <w:rPr>
          <w:rFonts w:cs="Arial"/>
        </w:rPr>
        <w:t>rbanog</w:t>
      </w:r>
      <w:r w:rsidR="00B14927" w:rsidRPr="008C3AC8">
        <w:rPr>
          <w:rFonts w:cs="Arial"/>
        </w:rPr>
        <w:t xml:space="preserve"> krajolika</w:t>
      </w:r>
      <w:r w:rsidR="00E35057" w:rsidRPr="008C3AC8">
        <w:rPr>
          <w:rFonts w:cs="Arial"/>
        </w:rPr>
        <w:t xml:space="preserve">, analizi graditeljskih i ostalih povijesnih struktura </w:t>
      </w:r>
      <w:r w:rsidR="00B14927" w:rsidRPr="008C3AC8">
        <w:rPr>
          <w:rFonts w:cs="Arial"/>
        </w:rPr>
        <w:t>za</w:t>
      </w:r>
      <w:r w:rsidR="00E35057" w:rsidRPr="008C3AC8">
        <w:rPr>
          <w:rFonts w:cs="Arial"/>
        </w:rPr>
        <w:t xml:space="preserve"> određen broj </w:t>
      </w:r>
      <w:r w:rsidR="00B14927" w:rsidRPr="008C3AC8">
        <w:rPr>
          <w:rFonts w:cs="Arial"/>
        </w:rPr>
        <w:t>kulturno povijesn</w:t>
      </w:r>
      <w:r w:rsidR="00E35057" w:rsidRPr="008C3AC8">
        <w:rPr>
          <w:rFonts w:cs="Arial"/>
        </w:rPr>
        <w:t>ih</w:t>
      </w:r>
      <w:r w:rsidR="003D000C" w:rsidRPr="008C3AC8">
        <w:rPr>
          <w:rFonts w:cs="Arial"/>
        </w:rPr>
        <w:t xml:space="preserve"> </w:t>
      </w:r>
      <w:r w:rsidR="00B14927" w:rsidRPr="008C3AC8">
        <w:rPr>
          <w:rFonts w:cs="Arial"/>
        </w:rPr>
        <w:t>cjelin</w:t>
      </w:r>
      <w:r w:rsidR="00E35057" w:rsidRPr="008C3AC8">
        <w:rPr>
          <w:rFonts w:cs="Arial"/>
        </w:rPr>
        <w:t>a u osam hrvatskih županija</w:t>
      </w:r>
      <w:r w:rsidR="00692E37" w:rsidRPr="008C3AC8">
        <w:rPr>
          <w:rFonts w:cs="Arial"/>
        </w:rPr>
        <w:t>, a u 2026. godini planiran</w:t>
      </w:r>
      <w:r w:rsidR="00972CF3" w:rsidRPr="008C3AC8">
        <w:rPr>
          <w:rFonts w:cs="Arial"/>
        </w:rPr>
        <w:t xml:space="preserve">a je </w:t>
      </w:r>
      <w:r w:rsidR="00692E37" w:rsidRPr="008C3AC8">
        <w:rPr>
          <w:rFonts w:cs="Arial"/>
        </w:rPr>
        <w:t>izrad</w:t>
      </w:r>
      <w:r w:rsidR="00972CF3" w:rsidRPr="008C3AC8">
        <w:rPr>
          <w:rFonts w:cs="Arial"/>
        </w:rPr>
        <w:t>a</w:t>
      </w:r>
      <w:r w:rsidR="00692E37" w:rsidRPr="008C3AC8">
        <w:rPr>
          <w:rFonts w:cs="Arial"/>
        </w:rPr>
        <w:t xml:space="preserve"> e-podloga</w:t>
      </w:r>
      <w:r w:rsidR="003D000C" w:rsidRPr="008C3AC8">
        <w:rPr>
          <w:rFonts w:cs="Arial"/>
        </w:rPr>
        <w:t xml:space="preserve"> </w:t>
      </w:r>
      <w:r w:rsidR="00692E37" w:rsidRPr="008C3AC8">
        <w:rPr>
          <w:rFonts w:cs="Arial"/>
        </w:rPr>
        <w:t>za</w:t>
      </w:r>
      <w:r w:rsidR="00972CF3" w:rsidRPr="008C3AC8">
        <w:rPr>
          <w:rFonts w:cs="Arial"/>
        </w:rPr>
        <w:t xml:space="preserve"> još jednu</w:t>
      </w:r>
      <w:r w:rsidR="00692E37" w:rsidRPr="008C3AC8">
        <w:rPr>
          <w:rFonts w:cs="Arial"/>
        </w:rPr>
        <w:t xml:space="preserve"> županiju</w:t>
      </w:r>
      <w:r w:rsidR="00F367A5" w:rsidRPr="008C3AC8">
        <w:rPr>
          <w:rFonts w:cs="Arial"/>
        </w:rPr>
        <w:t>.</w:t>
      </w:r>
      <w:r w:rsidR="00E82C9F" w:rsidRPr="008C3AC8">
        <w:rPr>
          <w:rFonts w:cs="Arial"/>
        </w:rPr>
        <w:t xml:space="preserve"> Izvor 31 Vlastiti prihodi.</w:t>
      </w:r>
    </w:p>
    <w:p w:rsidR="00F367A5" w:rsidRPr="008C3AC8" w:rsidRDefault="00F367A5" w:rsidP="00146D89">
      <w:pPr>
        <w:spacing w:after="0" w:line="276" w:lineRule="auto"/>
        <w:rPr>
          <w:rFonts w:cs="Arial"/>
        </w:rPr>
      </w:pPr>
    </w:p>
    <w:p w:rsidR="00146D89" w:rsidRPr="008C3AC8" w:rsidRDefault="002D0A47" w:rsidP="00146D89">
      <w:pPr>
        <w:spacing w:after="0" w:line="276" w:lineRule="auto"/>
        <w:rPr>
          <w:rFonts w:eastAsia="Times New Roman" w:cs="Arial"/>
          <w:b/>
          <w:bCs/>
          <w:lang w:eastAsia="hr-HR"/>
        </w:rPr>
      </w:pPr>
      <w:r w:rsidRPr="008C3AC8">
        <w:rPr>
          <w:rFonts w:eastAsia="Times New Roman" w:cs="Arial"/>
          <w:b/>
          <w:bCs/>
          <w:lang w:eastAsia="hr-HR"/>
        </w:rPr>
        <w:t>Pokazatelji rezultata: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995"/>
        <w:gridCol w:w="912"/>
        <w:gridCol w:w="1072"/>
        <w:gridCol w:w="1089"/>
        <w:gridCol w:w="1072"/>
        <w:gridCol w:w="1072"/>
        <w:gridCol w:w="1072"/>
      </w:tblGrid>
      <w:tr w:rsidR="00CE73F8" w:rsidRPr="008C3AC8" w:rsidTr="00CE73F8">
        <w:tc>
          <w:tcPr>
            <w:tcW w:w="1733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Pokazatelj rezultata</w:t>
            </w: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Definicija</w:t>
            </w:r>
          </w:p>
        </w:tc>
        <w:tc>
          <w:tcPr>
            <w:tcW w:w="912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Jedinica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Polazna vrijednost (2024.)</w:t>
            </w:r>
          </w:p>
        </w:tc>
        <w:tc>
          <w:tcPr>
            <w:tcW w:w="1089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Izvor podataka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2026.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2027.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:rsidR="005D76F0" w:rsidRPr="008C3AC8" w:rsidRDefault="005D76F0" w:rsidP="005F1A8E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b/>
                <w:bCs/>
                <w:sz w:val="18"/>
                <w:lang w:eastAsia="hr-HR"/>
              </w:rPr>
              <w:t>Ciljana vrijednost 2028.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5D76F0" w:rsidRPr="008C3AC8" w:rsidRDefault="00CE73F8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 xml:space="preserve">Broj istraživačkih projekata </w:t>
            </w:r>
          </w:p>
        </w:tc>
        <w:tc>
          <w:tcPr>
            <w:tcW w:w="995" w:type="dxa"/>
            <w:vAlign w:val="center"/>
          </w:tcPr>
          <w:p w:rsidR="005D76F0" w:rsidRPr="008C3AC8" w:rsidRDefault="00CE73F8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Ugovoreni projekti vidljivi u fin. planu</w:t>
            </w:r>
          </w:p>
        </w:tc>
        <w:tc>
          <w:tcPr>
            <w:tcW w:w="912" w:type="dxa"/>
            <w:vAlign w:val="center"/>
          </w:tcPr>
          <w:p w:rsidR="005D76F0" w:rsidRPr="008C3AC8" w:rsidRDefault="00CE73F8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2" w:type="dxa"/>
            <w:vAlign w:val="center"/>
          </w:tcPr>
          <w:p w:rsidR="005D76F0" w:rsidRPr="008C3AC8" w:rsidRDefault="00CE73F8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3</w:t>
            </w:r>
          </w:p>
        </w:tc>
        <w:tc>
          <w:tcPr>
            <w:tcW w:w="1089" w:type="dxa"/>
            <w:vAlign w:val="center"/>
          </w:tcPr>
          <w:p w:rsidR="005D76F0" w:rsidRPr="008C3AC8" w:rsidRDefault="00CE73F8" w:rsidP="00146D89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072" w:type="dxa"/>
            <w:vAlign w:val="center"/>
          </w:tcPr>
          <w:p w:rsidR="005D76F0" w:rsidRPr="008C3AC8" w:rsidRDefault="00CE73F8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072" w:type="dxa"/>
            <w:vAlign w:val="center"/>
          </w:tcPr>
          <w:p w:rsidR="005D76F0" w:rsidRPr="008C3AC8" w:rsidRDefault="00CE73F8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072" w:type="dxa"/>
            <w:vAlign w:val="center"/>
          </w:tcPr>
          <w:p w:rsidR="005D76F0" w:rsidRPr="008C3AC8" w:rsidRDefault="00CE73F8" w:rsidP="00146D89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2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projektnih prijava na kompetitivne izvore financiranja (od čega: ERC, ostali međunarodni programi)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prijava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2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Vrijednost kompetitivnih znanstvenih projekata (od čega: ERC, ostali međunarodni programi)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Ukupna vrijednost projekata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EUR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195.882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Financijski izvještaj za 2024.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573.037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502.676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414.109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Vrijednost projekata ugovorenih s gospodarstvom i u tržišnim uvjetima i javnim tijelima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Ukupna vrijednost projekata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EUR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554.592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Financijski izvještaj za 2024.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479.907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60.000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60.000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Razvoj karijere mladih istraživanja doktora znanosti (</w:t>
            </w:r>
            <w:proofErr w:type="spellStart"/>
            <w:r w:rsidRPr="008C3AC8">
              <w:rPr>
                <w:rFonts w:eastAsia="Times New Roman" w:cs="Arial"/>
                <w:sz w:val="18"/>
                <w:lang w:eastAsia="hr-HR"/>
              </w:rPr>
              <w:t>HrZZ</w:t>
            </w:r>
            <w:proofErr w:type="spellEnd"/>
            <w:r w:rsidRPr="008C3AC8">
              <w:rPr>
                <w:rFonts w:eastAsia="Times New Roman" w:cs="Arial"/>
                <w:sz w:val="18"/>
                <w:lang w:eastAsia="hr-HR"/>
              </w:rPr>
              <w:t>)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zaposlenih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2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izvještaj za 2024.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0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0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Konzervatorski poslovi, elaborati i studije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projekata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10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2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2</w:t>
            </w:r>
          </w:p>
        </w:tc>
      </w:tr>
      <w:tr w:rsidR="00CE73F8" w:rsidRPr="008C3AC8" w:rsidTr="00CE73F8">
        <w:tc>
          <w:tcPr>
            <w:tcW w:w="1733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Izlaganja na skupovima u zemlji i inozemstvu</w:t>
            </w:r>
          </w:p>
        </w:tc>
        <w:tc>
          <w:tcPr>
            <w:tcW w:w="995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 izlaganja</w:t>
            </w:r>
          </w:p>
        </w:tc>
        <w:tc>
          <w:tcPr>
            <w:tcW w:w="912" w:type="dxa"/>
            <w:vAlign w:val="center"/>
          </w:tcPr>
          <w:p w:rsidR="00CE73F8" w:rsidRPr="008C3AC8" w:rsidRDefault="00CE73F8" w:rsidP="00CE73F8">
            <w:pPr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Broj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55</w:t>
            </w:r>
          </w:p>
        </w:tc>
        <w:tc>
          <w:tcPr>
            <w:tcW w:w="1089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cs="Arial"/>
                <w:sz w:val="18"/>
              </w:rPr>
              <w:t>≡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55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60</w:t>
            </w:r>
          </w:p>
        </w:tc>
        <w:tc>
          <w:tcPr>
            <w:tcW w:w="1072" w:type="dxa"/>
            <w:vAlign w:val="center"/>
          </w:tcPr>
          <w:p w:rsidR="00CE73F8" w:rsidRPr="008C3AC8" w:rsidRDefault="00CE73F8" w:rsidP="00CE73F8">
            <w:pPr>
              <w:jc w:val="center"/>
              <w:rPr>
                <w:rFonts w:eastAsia="Times New Roman" w:cs="Arial"/>
                <w:sz w:val="18"/>
                <w:lang w:eastAsia="hr-HR"/>
              </w:rPr>
            </w:pPr>
            <w:r w:rsidRPr="008C3AC8">
              <w:rPr>
                <w:rFonts w:eastAsia="Times New Roman" w:cs="Arial"/>
                <w:sz w:val="18"/>
                <w:lang w:eastAsia="hr-HR"/>
              </w:rPr>
              <w:t>60</w:t>
            </w:r>
          </w:p>
        </w:tc>
      </w:tr>
    </w:tbl>
    <w:p w:rsidR="002A70DC" w:rsidRPr="008C3AC8" w:rsidRDefault="002A70DC" w:rsidP="00146D89">
      <w:pPr>
        <w:spacing w:after="0" w:line="276" w:lineRule="auto"/>
        <w:rPr>
          <w:rFonts w:cs="Arial"/>
        </w:rPr>
      </w:pPr>
    </w:p>
    <w:p w:rsidR="005D76F0" w:rsidRPr="008C3AC8" w:rsidRDefault="005D76F0" w:rsidP="00146D89">
      <w:pPr>
        <w:spacing w:after="0" w:line="276" w:lineRule="auto"/>
        <w:rPr>
          <w:rFonts w:cs="Arial"/>
        </w:rPr>
      </w:pPr>
    </w:p>
    <w:sectPr w:rsidR="005D76F0" w:rsidRPr="008C3AC8" w:rsidSect="00D311F9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752" w:rsidRDefault="00F46752" w:rsidP="00932CC6">
      <w:pPr>
        <w:spacing w:after="0" w:line="240" w:lineRule="auto"/>
      </w:pPr>
      <w:r>
        <w:separator/>
      </w:r>
    </w:p>
  </w:endnote>
  <w:endnote w:type="continuationSeparator" w:id="0">
    <w:p w:rsidR="00F46752" w:rsidRDefault="00F46752" w:rsidP="0093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5425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F46752" w:rsidRPr="00932CC6" w:rsidRDefault="00F46752">
        <w:pPr>
          <w:pStyle w:val="Footer"/>
          <w:jc w:val="center"/>
          <w:rPr>
            <w:rFonts w:ascii="Times New Roman" w:hAnsi="Times New Roman" w:cs="Times New Roman"/>
            <w:sz w:val="16"/>
          </w:rPr>
        </w:pPr>
        <w:r w:rsidRPr="00932CC6">
          <w:rPr>
            <w:rFonts w:ascii="Times New Roman" w:hAnsi="Times New Roman" w:cs="Times New Roman"/>
            <w:sz w:val="16"/>
          </w:rPr>
          <w:fldChar w:fldCharType="begin"/>
        </w:r>
        <w:r w:rsidRPr="00932CC6">
          <w:rPr>
            <w:rFonts w:ascii="Times New Roman" w:hAnsi="Times New Roman" w:cs="Times New Roman"/>
            <w:sz w:val="16"/>
          </w:rPr>
          <w:instrText>PAGE   \* MERGEFORMAT</w:instrText>
        </w:r>
        <w:r w:rsidRPr="00932CC6">
          <w:rPr>
            <w:rFonts w:ascii="Times New Roman" w:hAnsi="Times New Roman" w:cs="Times New Roman"/>
            <w:sz w:val="16"/>
          </w:rPr>
          <w:fldChar w:fldCharType="separate"/>
        </w:r>
        <w:r w:rsidRPr="00932CC6">
          <w:rPr>
            <w:rFonts w:ascii="Times New Roman" w:hAnsi="Times New Roman" w:cs="Times New Roman"/>
            <w:sz w:val="16"/>
          </w:rPr>
          <w:t>2</w:t>
        </w:r>
        <w:r w:rsidRPr="00932CC6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F46752" w:rsidRDefault="00F4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752" w:rsidRDefault="00F46752" w:rsidP="00932CC6">
      <w:pPr>
        <w:spacing w:after="0" w:line="240" w:lineRule="auto"/>
      </w:pPr>
      <w:r>
        <w:separator/>
      </w:r>
    </w:p>
  </w:footnote>
  <w:footnote w:type="continuationSeparator" w:id="0">
    <w:p w:rsidR="00F46752" w:rsidRDefault="00F46752" w:rsidP="0093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889"/>
    <w:multiLevelType w:val="multilevel"/>
    <w:tmpl w:val="1C2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03E49"/>
    <w:multiLevelType w:val="hybridMultilevel"/>
    <w:tmpl w:val="86BEC36C"/>
    <w:lvl w:ilvl="0" w:tplc="BDCCD2E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357FC"/>
    <w:multiLevelType w:val="multilevel"/>
    <w:tmpl w:val="3C6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B2ED3"/>
    <w:multiLevelType w:val="multilevel"/>
    <w:tmpl w:val="446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F1B56"/>
    <w:multiLevelType w:val="multilevel"/>
    <w:tmpl w:val="F706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756A3"/>
    <w:multiLevelType w:val="multilevel"/>
    <w:tmpl w:val="E842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42643"/>
    <w:multiLevelType w:val="multilevel"/>
    <w:tmpl w:val="303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263FA"/>
    <w:multiLevelType w:val="multilevel"/>
    <w:tmpl w:val="4F6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A3590"/>
    <w:multiLevelType w:val="multilevel"/>
    <w:tmpl w:val="1266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B13A8"/>
    <w:multiLevelType w:val="hybridMultilevel"/>
    <w:tmpl w:val="9A486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F89"/>
    <w:multiLevelType w:val="hybridMultilevel"/>
    <w:tmpl w:val="708E6B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E3126C"/>
    <w:multiLevelType w:val="multilevel"/>
    <w:tmpl w:val="B7DA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1222E"/>
    <w:multiLevelType w:val="multilevel"/>
    <w:tmpl w:val="D7D4575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2CC6"/>
    <w:multiLevelType w:val="multilevel"/>
    <w:tmpl w:val="CE1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0371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C10DA"/>
    <w:multiLevelType w:val="hybridMultilevel"/>
    <w:tmpl w:val="74D6CED0"/>
    <w:lvl w:ilvl="0" w:tplc="BDCCD2E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32688"/>
    <w:multiLevelType w:val="multilevel"/>
    <w:tmpl w:val="B7F8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75FE3"/>
    <w:multiLevelType w:val="multilevel"/>
    <w:tmpl w:val="A7D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842A0"/>
    <w:multiLevelType w:val="multilevel"/>
    <w:tmpl w:val="B7DA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86740"/>
    <w:multiLevelType w:val="hybridMultilevel"/>
    <w:tmpl w:val="7BD64248"/>
    <w:lvl w:ilvl="0" w:tplc="DDD49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F3778"/>
    <w:multiLevelType w:val="hybridMultilevel"/>
    <w:tmpl w:val="8C90DCA2"/>
    <w:lvl w:ilvl="0" w:tplc="BDCCD2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785393"/>
    <w:multiLevelType w:val="multilevel"/>
    <w:tmpl w:val="F89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F4F6F"/>
    <w:multiLevelType w:val="hybridMultilevel"/>
    <w:tmpl w:val="196A4B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A5848"/>
    <w:multiLevelType w:val="hybridMultilevel"/>
    <w:tmpl w:val="2E82A4E2"/>
    <w:lvl w:ilvl="0" w:tplc="BDCCD2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6E26"/>
    <w:multiLevelType w:val="multilevel"/>
    <w:tmpl w:val="E08A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E2282"/>
    <w:multiLevelType w:val="multilevel"/>
    <w:tmpl w:val="2EC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E7FF0"/>
    <w:multiLevelType w:val="hybridMultilevel"/>
    <w:tmpl w:val="C6902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228"/>
    <w:multiLevelType w:val="multilevel"/>
    <w:tmpl w:val="6F0A633E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A1701"/>
    <w:multiLevelType w:val="hybridMultilevel"/>
    <w:tmpl w:val="16806D4E"/>
    <w:lvl w:ilvl="0" w:tplc="BDCCD2E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DB2B134">
      <w:start w:val="6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B633A"/>
    <w:multiLevelType w:val="hybridMultilevel"/>
    <w:tmpl w:val="F70E7C4C"/>
    <w:lvl w:ilvl="0" w:tplc="BDCCD2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4458E"/>
    <w:multiLevelType w:val="hybridMultilevel"/>
    <w:tmpl w:val="22F0D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081B"/>
    <w:multiLevelType w:val="multilevel"/>
    <w:tmpl w:val="4932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C4FB2"/>
    <w:multiLevelType w:val="hybridMultilevel"/>
    <w:tmpl w:val="26365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A6318"/>
    <w:multiLevelType w:val="multilevel"/>
    <w:tmpl w:val="AC887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7"/>
  </w:num>
  <w:num w:numId="5">
    <w:abstractNumId w:val="0"/>
  </w:num>
  <w:num w:numId="6">
    <w:abstractNumId w:val="22"/>
  </w:num>
  <w:num w:numId="7">
    <w:abstractNumId w:val="10"/>
  </w:num>
  <w:num w:numId="8">
    <w:abstractNumId w:val="21"/>
  </w:num>
  <w:num w:numId="9">
    <w:abstractNumId w:val="4"/>
  </w:num>
  <w:num w:numId="10">
    <w:abstractNumId w:val="25"/>
  </w:num>
  <w:num w:numId="11">
    <w:abstractNumId w:val="5"/>
  </w:num>
  <w:num w:numId="12">
    <w:abstractNumId w:val="32"/>
  </w:num>
  <w:num w:numId="13">
    <w:abstractNumId w:val="18"/>
  </w:num>
  <w:num w:numId="14">
    <w:abstractNumId w:val="14"/>
  </w:num>
  <w:num w:numId="15">
    <w:abstractNumId w:val="12"/>
  </w:num>
  <w:num w:numId="16">
    <w:abstractNumId w:val="16"/>
  </w:num>
  <w:num w:numId="17">
    <w:abstractNumId w:val="23"/>
  </w:num>
  <w:num w:numId="18">
    <w:abstractNumId w:val="19"/>
  </w:num>
  <w:num w:numId="19">
    <w:abstractNumId w:val="1"/>
  </w:num>
  <w:num w:numId="20">
    <w:abstractNumId w:val="30"/>
  </w:num>
  <w:num w:numId="21">
    <w:abstractNumId w:val="29"/>
  </w:num>
  <w:num w:numId="22">
    <w:abstractNumId w:val="24"/>
  </w:num>
  <w:num w:numId="23">
    <w:abstractNumId w:val="15"/>
  </w:num>
  <w:num w:numId="24">
    <w:abstractNumId w:val="34"/>
  </w:num>
  <w:num w:numId="25">
    <w:abstractNumId w:val="20"/>
  </w:num>
  <w:num w:numId="26">
    <w:abstractNumId w:val="33"/>
  </w:num>
  <w:num w:numId="27">
    <w:abstractNumId w:val="31"/>
  </w:num>
  <w:num w:numId="28">
    <w:abstractNumId w:val="27"/>
  </w:num>
  <w:num w:numId="29">
    <w:abstractNumId w:val="9"/>
  </w:num>
  <w:num w:numId="30">
    <w:abstractNumId w:val="2"/>
  </w:num>
  <w:num w:numId="31">
    <w:abstractNumId w:val="28"/>
  </w:num>
  <w:num w:numId="32">
    <w:abstractNumId w:val="3"/>
  </w:num>
  <w:num w:numId="33">
    <w:abstractNumId w:val="13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47"/>
    <w:rsid w:val="000239E3"/>
    <w:rsid w:val="00033F74"/>
    <w:rsid w:val="00065AFB"/>
    <w:rsid w:val="000820D0"/>
    <w:rsid w:val="00095379"/>
    <w:rsid w:val="000B0458"/>
    <w:rsid w:val="000B2609"/>
    <w:rsid w:val="000C4A88"/>
    <w:rsid w:val="001232DB"/>
    <w:rsid w:val="00146D89"/>
    <w:rsid w:val="0017479E"/>
    <w:rsid w:val="001862A1"/>
    <w:rsid w:val="00193EF7"/>
    <w:rsid w:val="001D03AE"/>
    <w:rsid w:val="001F10B1"/>
    <w:rsid w:val="0021279A"/>
    <w:rsid w:val="002423E4"/>
    <w:rsid w:val="0026510C"/>
    <w:rsid w:val="00274AF1"/>
    <w:rsid w:val="002769BE"/>
    <w:rsid w:val="00293369"/>
    <w:rsid w:val="002A70DC"/>
    <w:rsid w:val="002D0A47"/>
    <w:rsid w:val="00317A65"/>
    <w:rsid w:val="00366F6C"/>
    <w:rsid w:val="00380F1A"/>
    <w:rsid w:val="003D000C"/>
    <w:rsid w:val="00420AE4"/>
    <w:rsid w:val="004558AC"/>
    <w:rsid w:val="00472AEC"/>
    <w:rsid w:val="00485E56"/>
    <w:rsid w:val="00493F65"/>
    <w:rsid w:val="004C0ADE"/>
    <w:rsid w:val="004D0B48"/>
    <w:rsid w:val="004D3CE9"/>
    <w:rsid w:val="00530CC6"/>
    <w:rsid w:val="00586348"/>
    <w:rsid w:val="00595F86"/>
    <w:rsid w:val="005C38E1"/>
    <w:rsid w:val="005C7F70"/>
    <w:rsid w:val="005D76F0"/>
    <w:rsid w:val="005E489D"/>
    <w:rsid w:val="005F1A8E"/>
    <w:rsid w:val="00601DC4"/>
    <w:rsid w:val="00637618"/>
    <w:rsid w:val="0067398D"/>
    <w:rsid w:val="00692E37"/>
    <w:rsid w:val="00694F4B"/>
    <w:rsid w:val="00737B2F"/>
    <w:rsid w:val="007E12C2"/>
    <w:rsid w:val="00843FAB"/>
    <w:rsid w:val="008501EE"/>
    <w:rsid w:val="00894C9C"/>
    <w:rsid w:val="008A205E"/>
    <w:rsid w:val="008C3AC8"/>
    <w:rsid w:val="008E19B7"/>
    <w:rsid w:val="00924332"/>
    <w:rsid w:val="00932CC6"/>
    <w:rsid w:val="00970454"/>
    <w:rsid w:val="00972CF3"/>
    <w:rsid w:val="009C297B"/>
    <w:rsid w:val="00A15E49"/>
    <w:rsid w:val="00A235C6"/>
    <w:rsid w:val="00A811EC"/>
    <w:rsid w:val="00A9464C"/>
    <w:rsid w:val="00A953E0"/>
    <w:rsid w:val="00AA52FD"/>
    <w:rsid w:val="00AD76D9"/>
    <w:rsid w:val="00AF4DC6"/>
    <w:rsid w:val="00B14927"/>
    <w:rsid w:val="00B22FC9"/>
    <w:rsid w:val="00B26E5C"/>
    <w:rsid w:val="00B33A8A"/>
    <w:rsid w:val="00B55B45"/>
    <w:rsid w:val="00BB5891"/>
    <w:rsid w:val="00BC22C8"/>
    <w:rsid w:val="00BE03B1"/>
    <w:rsid w:val="00BE2797"/>
    <w:rsid w:val="00C308B9"/>
    <w:rsid w:val="00C62240"/>
    <w:rsid w:val="00C74746"/>
    <w:rsid w:val="00C83204"/>
    <w:rsid w:val="00CA6B87"/>
    <w:rsid w:val="00CE1B5E"/>
    <w:rsid w:val="00CE73F8"/>
    <w:rsid w:val="00D068A5"/>
    <w:rsid w:val="00D1759F"/>
    <w:rsid w:val="00D311F9"/>
    <w:rsid w:val="00DE33AB"/>
    <w:rsid w:val="00E03579"/>
    <w:rsid w:val="00E33F8A"/>
    <w:rsid w:val="00E34CA6"/>
    <w:rsid w:val="00E35057"/>
    <w:rsid w:val="00E374F6"/>
    <w:rsid w:val="00E82C9F"/>
    <w:rsid w:val="00E841AB"/>
    <w:rsid w:val="00E93785"/>
    <w:rsid w:val="00EB1385"/>
    <w:rsid w:val="00EC5676"/>
    <w:rsid w:val="00EE1A2D"/>
    <w:rsid w:val="00F11740"/>
    <w:rsid w:val="00F16DF5"/>
    <w:rsid w:val="00F254BF"/>
    <w:rsid w:val="00F3400A"/>
    <w:rsid w:val="00F367A5"/>
    <w:rsid w:val="00F403A1"/>
    <w:rsid w:val="00F43A4B"/>
    <w:rsid w:val="00F46752"/>
    <w:rsid w:val="00F5616E"/>
    <w:rsid w:val="00F778DC"/>
    <w:rsid w:val="00F844F1"/>
    <w:rsid w:val="00FA72E7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5B6C"/>
  <w15:chartTrackingRefBased/>
  <w15:docId w15:val="{BB4D9587-0848-4A85-B672-BA187F2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89"/>
  </w:style>
  <w:style w:type="paragraph" w:styleId="Heading1">
    <w:name w:val="heading 1"/>
    <w:basedOn w:val="Normal"/>
    <w:next w:val="Normal"/>
    <w:link w:val="Heading1Char"/>
    <w:uiPriority w:val="9"/>
    <w:qFormat/>
    <w:rsid w:val="00D06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D0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A4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2D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D0A47"/>
    <w:rPr>
      <w:b/>
      <w:bCs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065AF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16DF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16DF5"/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F16DF5"/>
  </w:style>
  <w:style w:type="character" w:customStyle="1" w:styleId="Heading3Char">
    <w:name w:val="Heading 3 Char"/>
    <w:basedOn w:val="DefaultParagraphFont"/>
    <w:link w:val="Heading3"/>
    <w:uiPriority w:val="9"/>
    <w:semiHidden/>
    <w:rsid w:val="00212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7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21279A"/>
    <w:rPr>
      <w:i/>
      <w:iCs/>
    </w:rPr>
  </w:style>
  <w:style w:type="character" w:customStyle="1" w:styleId="truncate">
    <w:name w:val="truncate"/>
    <w:basedOn w:val="DefaultParagraphFont"/>
    <w:rsid w:val="0021279A"/>
  </w:style>
  <w:style w:type="paragraph" w:styleId="Header">
    <w:name w:val="header"/>
    <w:basedOn w:val="Normal"/>
    <w:link w:val="HeaderChar"/>
    <w:uiPriority w:val="99"/>
    <w:unhideWhenUsed/>
    <w:rsid w:val="0093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C6"/>
  </w:style>
  <w:style w:type="paragraph" w:styleId="Footer">
    <w:name w:val="footer"/>
    <w:basedOn w:val="Normal"/>
    <w:link w:val="FooterChar"/>
    <w:uiPriority w:val="99"/>
    <w:unhideWhenUsed/>
    <w:rsid w:val="0093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C6"/>
  </w:style>
  <w:style w:type="table" w:styleId="TableGrid">
    <w:name w:val="Table Grid"/>
    <w:basedOn w:val="TableNormal"/>
    <w:uiPriority w:val="39"/>
    <w:rsid w:val="00B3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x477485">
    <w:name w:val="box_477485"/>
    <w:basedOn w:val="Normal"/>
    <w:rsid w:val="0060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CF4C-8F5D-417C-B18E-6A22127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6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Gubić</dc:creator>
  <cp:keywords/>
  <dc:description/>
  <cp:lastModifiedBy>Nela Gubić</cp:lastModifiedBy>
  <cp:revision>42</cp:revision>
  <dcterms:created xsi:type="dcterms:W3CDTF">2024-11-20T14:28:00Z</dcterms:created>
  <dcterms:modified xsi:type="dcterms:W3CDTF">2025-10-22T14:43:00Z</dcterms:modified>
</cp:coreProperties>
</file>